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2A5" w:rsidRDefault="006842A5" w:rsidP="006842A5">
      <w:pPr>
        <w:rPr>
          <w:rFonts w:ascii="Times New Roman" w:hAnsi="Times New Roman"/>
          <w:b/>
          <w:sz w:val="24"/>
          <w:szCs w:val="24"/>
        </w:rPr>
      </w:pPr>
      <w:bookmarkStart w:id="0" w:name="_GoBack"/>
      <w:bookmarkEnd w:id="0"/>
      <w:r w:rsidRPr="007454DB">
        <w:rPr>
          <w:rFonts w:ascii="Times New Roman" w:hAnsi="Times New Roman"/>
          <w:b/>
          <w:sz w:val="24"/>
          <w:szCs w:val="24"/>
        </w:rPr>
        <w:t>MEMORANDUM:</w:t>
      </w:r>
    </w:p>
    <w:p w:rsidR="0049511F" w:rsidRDefault="0049511F" w:rsidP="006842A5">
      <w:pPr>
        <w:rPr>
          <w:rFonts w:ascii="Times New Roman" w:hAnsi="Times New Roman"/>
          <w:b/>
          <w:sz w:val="24"/>
          <w:szCs w:val="24"/>
        </w:rPr>
      </w:pPr>
    </w:p>
    <w:p w:rsidR="006842A5" w:rsidRDefault="006842A5" w:rsidP="006842A5">
      <w:pPr>
        <w:rPr>
          <w:rFonts w:ascii="Times New Roman" w:hAnsi="Times New Roman"/>
          <w:b/>
          <w:sz w:val="24"/>
          <w:szCs w:val="24"/>
        </w:rPr>
      </w:pPr>
    </w:p>
    <w:p w:rsidR="006842A5" w:rsidRDefault="006842A5" w:rsidP="006842A5">
      <w:pPr>
        <w:tabs>
          <w:tab w:val="left" w:pos="1080"/>
        </w:tabs>
        <w:rPr>
          <w:rFonts w:ascii="Times New Roman" w:hAnsi="Times New Roman"/>
          <w:sz w:val="24"/>
          <w:szCs w:val="24"/>
        </w:rPr>
      </w:pPr>
      <w:r w:rsidRPr="007454DB">
        <w:rPr>
          <w:rFonts w:ascii="Times New Roman" w:hAnsi="Times New Roman"/>
          <w:b/>
          <w:sz w:val="24"/>
          <w:szCs w:val="24"/>
        </w:rPr>
        <w:t>FROM</w:t>
      </w:r>
      <w:r>
        <w:rPr>
          <w:rFonts w:ascii="Times New Roman" w:hAnsi="Times New Roman"/>
          <w:sz w:val="24"/>
          <w:szCs w:val="24"/>
        </w:rPr>
        <w:t>:</w:t>
      </w:r>
      <w:r>
        <w:rPr>
          <w:rFonts w:ascii="Times New Roman" w:hAnsi="Times New Roman"/>
          <w:sz w:val="24"/>
          <w:szCs w:val="24"/>
        </w:rPr>
        <w:tab/>
      </w:r>
      <w:r w:rsidR="003034CB">
        <w:rPr>
          <w:rFonts w:ascii="Times New Roman" w:hAnsi="Times New Roman"/>
          <w:sz w:val="24"/>
          <w:szCs w:val="24"/>
        </w:rPr>
        <w:t>Gary L. Lay</w:t>
      </w:r>
      <w:r>
        <w:rPr>
          <w:rFonts w:ascii="Times New Roman" w:hAnsi="Times New Roman"/>
          <w:sz w:val="24"/>
          <w:szCs w:val="24"/>
        </w:rPr>
        <w:t>, ARA</w:t>
      </w:r>
    </w:p>
    <w:p w:rsidR="006842A5" w:rsidRDefault="003034CB" w:rsidP="006842A5">
      <w:pPr>
        <w:tabs>
          <w:tab w:val="left" w:pos="1080"/>
        </w:tabs>
        <w:rPr>
          <w:rFonts w:ascii="Times New Roman" w:hAnsi="Times New Roman"/>
          <w:sz w:val="24"/>
          <w:szCs w:val="24"/>
        </w:rPr>
      </w:pPr>
      <w:r>
        <w:rPr>
          <w:rFonts w:ascii="Times New Roman" w:hAnsi="Times New Roman"/>
          <w:sz w:val="24"/>
          <w:szCs w:val="24"/>
        </w:rPr>
        <w:tab/>
      </w:r>
      <w:r w:rsidR="006842A5">
        <w:rPr>
          <w:rFonts w:ascii="Times New Roman" w:hAnsi="Times New Roman"/>
          <w:sz w:val="24"/>
          <w:szCs w:val="24"/>
        </w:rPr>
        <w:t>Office of Valuation Services/BLM Team</w:t>
      </w:r>
    </w:p>
    <w:p w:rsidR="003034CB" w:rsidRDefault="006842A5" w:rsidP="006842A5">
      <w:pPr>
        <w:tabs>
          <w:tab w:val="left" w:pos="1080"/>
        </w:tabs>
        <w:rPr>
          <w:rFonts w:ascii="Times New Roman" w:hAnsi="Times New Roman"/>
          <w:sz w:val="24"/>
          <w:szCs w:val="24"/>
        </w:rPr>
      </w:pPr>
      <w:r>
        <w:rPr>
          <w:rFonts w:ascii="Times New Roman" w:hAnsi="Times New Roman"/>
          <w:sz w:val="24"/>
          <w:szCs w:val="24"/>
        </w:rPr>
        <w:tab/>
      </w:r>
      <w:r w:rsidR="003034CB">
        <w:rPr>
          <w:rFonts w:ascii="Times New Roman" w:hAnsi="Times New Roman"/>
          <w:sz w:val="24"/>
          <w:szCs w:val="24"/>
        </w:rPr>
        <w:t>2602 1</w:t>
      </w:r>
      <w:r w:rsidR="003034CB" w:rsidRPr="003034CB">
        <w:rPr>
          <w:rFonts w:ascii="Times New Roman" w:hAnsi="Times New Roman"/>
          <w:sz w:val="24"/>
          <w:szCs w:val="24"/>
          <w:vertAlign w:val="superscript"/>
        </w:rPr>
        <w:t>st</w:t>
      </w:r>
      <w:r w:rsidR="003034CB">
        <w:rPr>
          <w:rFonts w:ascii="Times New Roman" w:hAnsi="Times New Roman"/>
          <w:sz w:val="24"/>
          <w:szCs w:val="24"/>
        </w:rPr>
        <w:t xml:space="preserve"> Ave. North, Room 329</w:t>
      </w:r>
    </w:p>
    <w:p w:rsidR="003034CB" w:rsidRDefault="003034CB" w:rsidP="006842A5">
      <w:pPr>
        <w:tabs>
          <w:tab w:val="left" w:pos="1080"/>
        </w:tabs>
        <w:rPr>
          <w:rFonts w:ascii="Times New Roman" w:hAnsi="Times New Roman"/>
          <w:sz w:val="24"/>
          <w:szCs w:val="24"/>
        </w:rPr>
      </w:pPr>
      <w:r>
        <w:rPr>
          <w:rFonts w:ascii="Times New Roman" w:hAnsi="Times New Roman"/>
          <w:sz w:val="24"/>
          <w:szCs w:val="24"/>
        </w:rPr>
        <w:tab/>
        <w:t>Billings, Mt. 59101</w:t>
      </w:r>
    </w:p>
    <w:p w:rsidR="0049511F" w:rsidRPr="007454DB" w:rsidRDefault="003034CB" w:rsidP="006842A5">
      <w:pPr>
        <w:tabs>
          <w:tab w:val="left" w:pos="1080"/>
        </w:tabs>
        <w:rPr>
          <w:rFonts w:ascii="Times New Roman" w:hAnsi="Times New Roman"/>
          <w:sz w:val="24"/>
          <w:szCs w:val="24"/>
        </w:rPr>
      </w:pPr>
      <w:r>
        <w:rPr>
          <w:rFonts w:ascii="Times New Roman" w:hAnsi="Times New Roman"/>
          <w:sz w:val="24"/>
          <w:szCs w:val="24"/>
        </w:rPr>
        <w:tab/>
      </w:r>
      <w:r w:rsidR="006842A5" w:rsidRPr="007454DB">
        <w:rPr>
          <w:rFonts w:ascii="Times New Roman" w:hAnsi="Times New Roman"/>
          <w:sz w:val="24"/>
          <w:szCs w:val="24"/>
        </w:rPr>
        <w:tab/>
      </w:r>
    </w:p>
    <w:p w:rsidR="006842A5" w:rsidRPr="007454DB" w:rsidRDefault="006842A5" w:rsidP="006842A5">
      <w:pPr>
        <w:jc w:val="center"/>
        <w:rPr>
          <w:rFonts w:ascii="Times New Roman" w:hAnsi="Times New Roman"/>
          <w:sz w:val="24"/>
          <w:szCs w:val="24"/>
        </w:rPr>
      </w:pPr>
    </w:p>
    <w:p w:rsidR="006842A5" w:rsidRPr="007454DB" w:rsidRDefault="006842A5" w:rsidP="006842A5">
      <w:pPr>
        <w:tabs>
          <w:tab w:val="left" w:pos="1080"/>
        </w:tabs>
        <w:rPr>
          <w:rFonts w:ascii="Times New Roman" w:hAnsi="Times New Roman"/>
          <w:sz w:val="24"/>
          <w:szCs w:val="24"/>
        </w:rPr>
      </w:pPr>
      <w:r w:rsidRPr="007454DB">
        <w:rPr>
          <w:rFonts w:ascii="Times New Roman" w:hAnsi="Times New Roman"/>
          <w:b/>
          <w:sz w:val="24"/>
          <w:szCs w:val="24"/>
        </w:rPr>
        <w:t>TO:</w:t>
      </w:r>
      <w:r>
        <w:rPr>
          <w:rFonts w:ascii="Times New Roman" w:hAnsi="Times New Roman"/>
          <w:b/>
          <w:sz w:val="24"/>
          <w:szCs w:val="24"/>
        </w:rPr>
        <w:tab/>
      </w:r>
      <w:r w:rsidRPr="007454DB">
        <w:rPr>
          <w:rFonts w:ascii="Times New Roman" w:hAnsi="Times New Roman"/>
          <w:sz w:val="24"/>
          <w:szCs w:val="24"/>
        </w:rPr>
        <w:t>Janet Eubanks</w:t>
      </w:r>
    </w:p>
    <w:p w:rsidR="006842A5" w:rsidRPr="007454DB" w:rsidRDefault="006842A5" w:rsidP="006842A5">
      <w:pPr>
        <w:tabs>
          <w:tab w:val="left" w:pos="1080"/>
        </w:tabs>
        <w:ind w:left="720"/>
        <w:rPr>
          <w:rFonts w:ascii="Times New Roman" w:hAnsi="Times New Roman"/>
          <w:sz w:val="24"/>
          <w:szCs w:val="24"/>
        </w:rPr>
      </w:pPr>
      <w:r>
        <w:rPr>
          <w:rFonts w:ascii="Times New Roman" w:hAnsi="Times New Roman"/>
          <w:sz w:val="24"/>
          <w:szCs w:val="24"/>
        </w:rPr>
        <w:tab/>
      </w:r>
      <w:r w:rsidRPr="007454DB">
        <w:rPr>
          <w:rFonts w:ascii="Times New Roman" w:hAnsi="Times New Roman"/>
          <w:sz w:val="24"/>
          <w:szCs w:val="24"/>
        </w:rPr>
        <w:t>Realty Specialist</w:t>
      </w:r>
    </w:p>
    <w:p w:rsidR="006842A5" w:rsidRPr="007454DB" w:rsidRDefault="006842A5" w:rsidP="006842A5">
      <w:pPr>
        <w:tabs>
          <w:tab w:val="left" w:pos="1080"/>
        </w:tabs>
        <w:ind w:left="720"/>
        <w:rPr>
          <w:rFonts w:ascii="Times New Roman" w:hAnsi="Times New Roman"/>
          <w:sz w:val="24"/>
          <w:szCs w:val="24"/>
        </w:rPr>
      </w:pPr>
      <w:r>
        <w:rPr>
          <w:rFonts w:ascii="Times New Roman" w:hAnsi="Times New Roman"/>
          <w:sz w:val="24"/>
          <w:szCs w:val="24"/>
        </w:rPr>
        <w:tab/>
      </w:r>
      <w:r w:rsidRPr="007454DB">
        <w:rPr>
          <w:rFonts w:ascii="Times New Roman" w:hAnsi="Times New Roman"/>
          <w:sz w:val="24"/>
          <w:szCs w:val="24"/>
        </w:rPr>
        <w:t>Land Tenure Lead</w:t>
      </w:r>
    </w:p>
    <w:p w:rsidR="006842A5" w:rsidRPr="007454DB" w:rsidRDefault="006842A5" w:rsidP="006842A5">
      <w:pPr>
        <w:tabs>
          <w:tab w:val="left" w:pos="1080"/>
        </w:tabs>
        <w:ind w:left="720"/>
        <w:rPr>
          <w:rFonts w:ascii="Times New Roman" w:hAnsi="Times New Roman"/>
          <w:sz w:val="24"/>
          <w:szCs w:val="24"/>
        </w:rPr>
      </w:pPr>
      <w:r>
        <w:rPr>
          <w:rFonts w:ascii="Times New Roman" w:hAnsi="Times New Roman"/>
          <w:sz w:val="24"/>
          <w:szCs w:val="24"/>
        </w:rPr>
        <w:tab/>
      </w:r>
      <w:r w:rsidRPr="007454DB">
        <w:rPr>
          <w:rFonts w:ascii="Times New Roman" w:hAnsi="Times New Roman"/>
          <w:sz w:val="24"/>
          <w:szCs w:val="24"/>
        </w:rPr>
        <w:t>Lands, Realty &amp; Cadastral</w:t>
      </w:r>
    </w:p>
    <w:p w:rsidR="006842A5" w:rsidRPr="007454DB" w:rsidRDefault="006842A5" w:rsidP="006842A5">
      <w:pPr>
        <w:tabs>
          <w:tab w:val="left" w:pos="1080"/>
        </w:tabs>
        <w:ind w:left="720"/>
        <w:rPr>
          <w:rFonts w:ascii="Times New Roman" w:hAnsi="Times New Roman"/>
          <w:sz w:val="24"/>
          <w:szCs w:val="24"/>
        </w:rPr>
      </w:pPr>
      <w:r>
        <w:rPr>
          <w:rFonts w:ascii="Times New Roman" w:hAnsi="Times New Roman"/>
          <w:sz w:val="24"/>
          <w:szCs w:val="24"/>
        </w:rPr>
        <w:tab/>
      </w:r>
      <w:r w:rsidRPr="007454DB">
        <w:rPr>
          <w:rFonts w:ascii="Times New Roman" w:hAnsi="Times New Roman"/>
          <w:sz w:val="24"/>
          <w:szCs w:val="24"/>
        </w:rPr>
        <w:t>20 M Street</w:t>
      </w:r>
    </w:p>
    <w:p w:rsidR="006842A5" w:rsidRDefault="006842A5" w:rsidP="006842A5">
      <w:pPr>
        <w:tabs>
          <w:tab w:val="left" w:pos="1080"/>
        </w:tabs>
        <w:ind w:left="720"/>
        <w:rPr>
          <w:rFonts w:ascii="Times New Roman" w:hAnsi="Times New Roman"/>
          <w:sz w:val="24"/>
          <w:szCs w:val="24"/>
        </w:rPr>
      </w:pPr>
      <w:r>
        <w:rPr>
          <w:rFonts w:ascii="Times New Roman" w:hAnsi="Times New Roman"/>
          <w:sz w:val="24"/>
          <w:szCs w:val="24"/>
        </w:rPr>
        <w:tab/>
      </w:r>
      <w:r w:rsidRPr="007454DB">
        <w:rPr>
          <w:rFonts w:ascii="Times New Roman" w:hAnsi="Times New Roman"/>
          <w:sz w:val="24"/>
          <w:szCs w:val="24"/>
        </w:rPr>
        <w:t>Washington DC 20003</w:t>
      </w:r>
    </w:p>
    <w:p w:rsidR="0049511F" w:rsidRPr="007454DB" w:rsidRDefault="0049511F" w:rsidP="006842A5">
      <w:pPr>
        <w:tabs>
          <w:tab w:val="left" w:pos="1080"/>
        </w:tabs>
        <w:ind w:left="720"/>
        <w:rPr>
          <w:rFonts w:ascii="Times New Roman" w:hAnsi="Times New Roman"/>
          <w:sz w:val="24"/>
          <w:szCs w:val="24"/>
        </w:rPr>
      </w:pPr>
    </w:p>
    <w:p w:rsidR="006842A5" w:rsidRPr="007454DB" w:rsidRDefault="006842A5" w:rsidP="006842A5">
      <w:pPr>
        <w:ind w:left="720"/>
        <w:rPr>
          <w:rFonts w:ascii="Times New Roman" w:hAnsi="Times New Roman"/>
          <w:sz w:val="24"/>
          <w:szCs w:val="24"/>
        </w:rPr>
      </w:pPr>
    </w:p>
    <w:p w:rsidR="006842A5" w:rsidRDefault="006842A5" w:rsidP="006842A5">
      <w:pPr>
        <w:ind w:left="1080" w:hanging="1080"/>
        <w:rPr>
          <w:rFonts w:ascii="Times New Roman" w:hAnsi="Times New Roman"/>
          <w:sz w:val="24"/>
          <w:szCs w:val="24"/>
        </w:rPr>
      </w:pPr>
      <w:r w:rsidRPr="007454DB">
        <w:rPr>
          <w:rFonts w:ascii="Times New Roman" w:hAnsi="Times New Roman"/>
          <w:b/>
          <w:sz w:val="24"/>
          <w:szCs w:val="24"/>
        </w:rPr>
        <w:t>DATE:</w:t>
      </w:r>
      <w:r>
        <w:rPr>
          <w:rFonts w:ascii="Times New Roman" w:hAnsi="Times New Roman"/>
          <w:b/>
          <w:sz w:val="24"/>
          <w:szCs w:val="24"/>
        </w:rPr>
        <w:tab/>
      </w:r>
      <w:r w:rsidR="003034CB">
        <w:rPr>
          <w:rFonts w:ascii="Times New Roman" w:hAnsi="Times New Roman"/>
          <w:sz w:val="24"/>
          <w:szCs w:val="24"/>
        </w:rPr>
        <w:t>June 09, 2014</w:t>
      </w:r>
      <w:r>
        <w:rPr>
          <w:rFonts w:ascii="Times New Roman" w:hAnsi="Times New Roman"/>
          <w:sz w:val="24"/>
          <w:szCs w:val="24"/>
        </w:rPr>
        <w:tab/>
      </w:r>
    </w:p>
    <w:p w:rsidR="0049511F" w:rsidRPr="007454DB" w:rsidRDefault="0049511F" w:rsidP="006842A5">
      <w:pPr>
        <w:ind w:left="1080" w:hanging="1080"/>
        <w:rPr>
          <w:rFonts w:ascii="Times New Roman" w:hAnsi="Times New Roman"/>
          <w:sz w:val="24"/>
          <w:szCs w:val="24"/>
        </w:rPr>
      </w:pPr>
    </w:p>
    <w:p w:rsidR="006842A5" w:rsidRPr="007454DB" w:rsidRDefault="006842A5" w:rsidP="006842A5">
      <w:pPr>
        <w:rPr>
          <w:rFonts w:ascii="Times New Roman" w:hAnsi="Times New Roman"/>
          <w:sz w:val="24"/>
          <w:szCs w:val="24"/>
        </w:rPr>
      </w:pPr>
    </w:p>
    <w:p w:rsidR="003462F8" w:rsidRDefault="00E71A9A" w:rsidP="00E71A9A">
      <w:pPr>
        <w:ind w:left="1080" w:hanging="1080"/>
        <w:rPr>
          <w:rFonts w:ascii="Times New Roman" w:hAnsi="Times New Roman"/>
          <w:sz w:val="24"/>
          <w:szCs w:val="24"/>
        </w:rPr>
      </w:pPr>
      <w:r>
        <w:rPr>
          <w:rFonts w:ascii="Times New Roman" w:hAnsi="Times New Roman"/>
          <w:b/>
          <w:sz w:val="24"/>
          <w:szCs w:val="24"/>
        </w:rPr>
        <w:t>RE:</w:t>
      </w:r>
      <w:r>
        <w:rPr>
          <w:rFonts w:ascii="Times New Roman" w:hAnsi="Times New Roman"/>
          <w:b/>
          <w:sz w:val="24"/>
          <w:szCs w:val="24"/>
        </w:rPr>
        <w:tab/>
      </w:r>
      <w:r w:rsidRPr="006842A5">
        <w:rPr>
          <w:rFonts w:ascii="Times New Roman" w:hAnsi="Times New Roman"/>
          <w:sz w:val="24"/>
          <w:szCs w:val="24"/>
        </w:rPr>
        <w:t>Additional Guidance for Minimum Rental Analysis – Land Use Authorizations</w:t>
      </w:r>
    </w:p>
    <w:p w:rsidR="00E71A9A" w:rsidRPr="007454DB" w:rsidRDefault="00E71A9A" w:rsidP="00E71A9A">
      <w:pPr>
        <w:ind w:left="1080" w:hanging="1080"/>
        <w:rPr>
          <w:rFonts w:ascii="Times New Roman" w:hAnsi="Times New Roman"/>
          <w:sz w:val="24"/>
          <w:szCs w:val="24"/>
        </w:rPr>
      </w:pPr>
      <w:r>
        <w:rPr>
          <w:rFonts w:ascii="Times New Roman" w:hAnsi="Times New Roman"/>
          <w:b/>
          <w:sz w:val="24"/>
          <w:szCs w:val="24"/>
        </w:rPr>
        <w:tab/>
      </w:r>
      <w:r w:rsidRPr="007454DB">
        <w:rPr>
          <w:rFonts w:ascii="Times New Roman" w:hAnsi="Times New Roman"/>
          <w:sz w:val="24"/>
          <w:szCs w:val="24"/>
        </w:rPr>
        <w:t>Non Linear Rights of Way (R/W) Rental:</w:t>
      </w:r>
    </w:p>
    <w:p w:rsidR="00E71A9A" w:rsidRPr="00E71A9A" w:rsidRDefault="00E71A9A" w:rsidP="00E71A9A">
      <w:pPr>
        <w:ind w:left="1080" w:hanging="10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3034CB">
        <w:rPr>
          <w:rFonts w:ascii="Times New Roman" w:hAnsi="Times New Roman"/>
          <w:sz w:val="24"/>
          <w:szCs w:val="24"/>
        </w:rPr>
        <w:t>S</w:t>
      </w:r>
      <w:r w:rsidRPr="007454DB">
        <w:rPr>
          <w:rFonts w:ascii="Times New Roman" w:hAnsi="Times New Roman"/>
          <w:sz w:val="24"/>
          <w:szCs w:val="24"/>
        </w:rPr>
        <w:t xml:space="preserve">urvey of Rent Determination </w:t>
      </w:r>
      <w:r w:rsidR="003034CB">
        <w:rPr>
          <w:rFonts w:ascii="Times New Roman" w:hAnsi="Times New Roman"/>
          <w:sz w:val="24"/>
          <w:szCs w:val="24"/>
        </w:rPr>
        <w:t xml:space="preserve">for Apiary Sites and Agricultural </w:t>
      </w:r>
      <w:r w:rsidR="00A9671F">
        <w:rPr>
          <w:rFonts w:ascii="Times New Roman" w:hAnsi="Times New Roman"/>
          <w:sz w:val="24"/>
          <w:szCs w:val="24"/>
        </w:rPr>
        <w:t xml:space="preserve">(Cropland) </w:t>
      </w:r>
      <w:r w:rsidR="003034CB">
        <w:rPr>
          <w:rFonts w:ascii="Times New Roman" w:hAnsi="Times New Roman"/>
          <w:sz w:val="24"/>
          <w:szCs w:val="24"/>
        </w:rPr>
        <w:t xml:space="preserve">Trespasses </w:t>
      </w:r>
    </w:p>
    <w:p w:rsidR="003462F8" w:rsidRDefault="003462F8" w:rsidP="003462F8">
      <w:pPr>
        <w:ind w:left="3600" w:hanging="3600"/>
        <w:rPr>
          <w:rFonts w:ascii="Times New Roman" w:hAnsi="Times New Roman"/>
          <w:sz w:val="24"/>
          <w:szCs w:val="24"/>
        </w:rPr>
      </w:pPr>
    </w:p>
    <w:p w:rsidR="0049511F" w:rsidRDefault="0049511F" w:rsidP="003462F8">
      <w:pPr>
        <w:ind w:left="3600" w:hanging="3600"/>
        <w:rPr>
          <w:rFonts w:ascii="Times New Roman" w:hAnsi="Times New Roman"/>
          <w:sz w:val="24"/>
          <w:szCs w:val="24"/>
        </w:rPr>
      </w:pPr>
    </w:p>
    <w:p w:rsidR="003034CB" w:rsidRDefault="003034CB" w:rsidP="00B4795B">
      <w:pPr>
        <w:jc w:val="left"/>
        <w:rPr>
          <w:rFonts w:ascii="Times New Roman" w:hAnsi="Times New Roman"/>
          <w:sz w:val="24"/>
        </w:rPr>
      </w:pPr>
      <w:r w:rsidRPr="003034CB">
        <w:rPr>
          <w:rFonts w:ascii="Times New Roman" w:hAnsi="Times New Roman"/>
          <w:sz w:val="24"/>
        </w:rPr>
        <w:t>In accordance with your consultation request</w:t>
      </w:r>
      <w:r>
        <w:rPr>
          <w:rFonts w:ascii="Times New Roman" w:hAnsi="Times New Roman"/>
          <w:sz w:val="24"/>
        </w:rPr>
        <w:t xml:space="preserve"> (L13055)</w:t>
      </w:r>
      <w:r w:rsidRPr="003034CB">
        <w:rPr>
          <w:rFonts w:ascii="Times New Roman" w:hAnsi="Times New Roman"/>
          <w:sz w:val="24"/>
        </w:rPr>
        <w:t xml:space="preserve">, I have </w:t>
      </w:r>
      <w:r w:rsidR="00B4795B">
        <w:rPr>
          <w:rFonts w:ascii="Times New Roman" w:hAnsi="Times New Roman"/>
          <w:sz w:val="24"/>
          <w:szCs w:val="24"/>
        </w:rPr>
        <w:t xml:space="preserve">consulted with area BLM Realty Staff to identify their specific needs in the region, two areas of interest were recognized; Apiary Sites and Agricultural (Cropland) Trespasses.  </w:t>
      </w:r>
      <w:r w:rsidR="00B4795B" w:rsidRPr="00E23CE0">
        <w:rPr>
          <w:rFonts w:ascii="Times New Roman" w:hAnsi="Times New Roman"/>
          <w:sz w:val="24"/>
          <w:szCs w:val="24"/>
        </w:rPr>
        <w:t xml:space="preserve">The </w:t>
      </w:r>
      <w:r w:rsidR="00B4795B">
        <w:rPr>
          <w:rFonts w:ascii="Times New Roman" w:hAnsi="Times New Roman"/>
          <w:sz w:val="24"/>
          <w:szCs w:val="24"/>
        </w:rPr>
        <w:t xml:space="preserve">following discussion addresses these two issues. </w:t>
      </w:r>
      <w:r w:rsidRPr="003034CB">
        <w:rPr>
          <w:rFonts w:ascii="Times New Roman" w:hAnsi="Times New Roman"/>
          <w:sz w:val="24"/>
        </w:rPr>
        <w:t xml:space="preserve"> The intended use of this report is to provide the BLM with </w:t>
      </w:r>
      <w:r>
        <w:rPr>
          <w:rFonts w:ascii="Times New Roman" w:hAnsi="Times New Roman"/>
          <w:sz w:val="24"/>
        </w:rPr>
        <w:t xml:space="preserve">a </w:t>
      </w:r>
      <w:r w:rsidRPr="003034CB">
        <w:rPr>
          <w:rFonts w:ascii="Times New Roman" w:hAnsi="Times New Roman"/>
          <w:sz w:val="24"/>
        </w:rPr>
        <w:t xml:space="preserve">rental schedule for apiary sites </w:t>
      </w:r>
      <w:r>
        <w:rPr>
          <w:rFonts w:ascii="Times New Roman" w:hAnsi="Times New Roman"/>
          <w:sz w:val="24"/>
        </w:rPr>
        <w:t>and agricultural</w:t>
      </w:r>
      <w:r w:rsidR="00A9671F">
        <w:rPr>
          <w:rFonts w:ascii="Times New Roman" w:hAnsi="Times New Roman"/>
          <w:sz w:val="24"/>
        </w:rPr>
        <w:t xml:space="preserve"> (cropland)</w:t>
      </w:r>
      <w:r>
        <w:rPr>
          <w:rFonts w:ascii="Times New Roman" w:hAnsi="Times New Roman"/>
          <w:sz w:val="24"/>
        </w:rPr>
        <w:t xml:space="preserve"> trespasses </w:t>
      </w:r>
      <w:r w:rsidRPr="003034CB">
        <w:rPr>
          <w:rFonts w:ascii="Times New Roman" w:hAnsi="Times New Roman"/>
          <w:sz w:val="24"/>
        </w:rPr>
        <w:t xml:space="preserve">in </w:t>
      </w:r>
      <w:r w:rsidR="00D954CB">
        <w:rPr>
          <w:rFonts w:ascii="Times New Roman" w:hAnsi="Times New Roman"/>
          <w:sz w:val="24"/>
        </w:rPr>
        <w:t>Montana, North Dakota and South Dakota</w:t>
      </w:r>
      <w:r w:rsidRPr="003034CB">
        <w:rPr>
          <w:rFonts w:ascii="Times New Roman" w:hAnsi="Times New Roman"/>
          <w:sz w:val="24"/>
        </w:rPr>
        <w:t xml:space="preserve"> to become effective January 1, 20</w:t>
      </w:r>
      <w:r w:rsidR="00D954CB">
        <w:rPr>
          <w:rFonts w:ascii="Times New Roman" w:hAnsi="Times New Roman"/>
          <w:sz w:val="24"/>
        </w:rPr>
        <w:t>14</w:t>
      </w:r>
      <w:r w:rsidRPr="003034CB">
        <w:rPr>
          <w:rFonts w:ascii="Times New Roman" w:hAnsi="Times New Roman"/>
          <w:sz w:val="24"/>
        </w:rPr>
        <w:t>.</w:t>
      </w:r>
    </w:p>
    <w:p w:rsidR="0049511F" w:rsidRDefault="0049511F" w:rsidP="00B4795B">
      <w:pPr>
        <w:jc w:val="left"/>
        <w:rPr>
          <w:rFonts w:ascii="Times New Roman" w:hAnsi="Times New Roman"/>
          <w:sz w:val="24"/>
          <w:szCs w:val="24"/>
        </w:rPr>
      </w:pPr>
    </w:p>
    <w:p w:rsidR="005A0128" w:rsidRDefault="005A0128" w:rsidP="00B4795B">
      <w:pPr>
        <w:jc w:val="left"/>
        <w:rPr>
          <w:rFonts w:ascii="Times New Roman" w:hAnsi="Times New Roman"/>
          <w:sz w:val="24"/>
          <w:szCs w:val="24"/>
        </w:rPr>
      </w:pPr>
    </w:p>
    <w:p w:rsidR="005A0128" w:rsidRDefault="005A0128" w:rsidP="00B4795B">
      <w:pPr>
        <w:jc w:val="left"/>
        <w:rPr>
          <w:rFonts w:ascii="Times New Roman" w:hAnsi="Times New Roman"/>
          <w:sz w:val="24"/>
          <w:szCs w:val="24"/>
        </w:rPr>
      </w:pPr>
    </w:p>
    <w:p w:rsidR="005A0128" w:rsidRDefault="005A0128" w:rsidP="00B4795B">
      <w:pPr>
        <w:jc w:val="left"/>
        <w:rPr>
          <w:rFonts w:ascii="Times New Roman" w:hAnsi="Times New Roman"/>
          <w:sz w:val="24"/>
          <w:szCs w:val="24"/>
        </w:rPr>
      </w:pPr>
    </w:p>
    <w:p w:rsidR="005A0128" w:rsidRDefault="005A0128" w:rsidP="00B4795B">
      <w:pPr>
        <w:jc w:val="left"/>
        <w:rPr>
          <w:rFonts w:ascii="Times New Roman" w:hAnsi="Times New Roman"/>
          <w:sz w:val="24"/>
          <w:szCs w:val="24"/>
        </w:rPr>
      </w:pPr>
    </w:p>
    <w:p w:rsidR="005A0128" w:rsidRDefault="005A0128" w:rsidP="00B4795B">
      <w:pPr>
        <w:jc w:val="left"/>
        <w:rPr>
          <w:rFonts w:ascii="Times New Roman" w:hAnsi="Times New Roman"/>
          <w:sz w:val="24"/>
          <w:szCs w:val="24"/>
        </w:rPr>
      </w:pPr>
    </w:p>
    <w:p w:rsidR="005A0128" w:rsidRDefault="005A0128" w:rsidP="005A0128">
      <w:pPr>
        <w:jc w:val="right"/>
        <w:rPr>
          <w:rFonts w:ascii="Times New Roman" w:hAnsi="Times New Roman"/>
          <w:sz w:val="24"/>
          <w:szCs w:val="24"/>
        </w:rPr>
      </w:pPr>
      <w:r>
        <w:rPr>
          <w:rFonts w:ascii="Times New Roman" w:hAnsi="Times New Roman"/>
          <w:sz w:val="24"/>
          <w:szCs w:val="24"/>
        </w:rPr>
        <w:t>Attachment 2-1</w:t>
      </w:r>
    </w:p>
    <w:p w:rsidR="005A0128" w:rsidRDefault="005A0128" w:rsidP="00B4795B">
      <w:pPr>
        <w:jc w:val="left"/>
        <w:rPr>
          <w:rFonts w:ascii="Times New Roman" w:hAnsi="Times New Roman"/>
          <w:sz w:val="24"/>
          <w:szCs w:val="24"/>
        </w:rPr>
      </w:pPr>
    </w:p>
    <w:p w:rsidR="00B4795B" w:rsidRDefault="00B4795B" w:rsidP="005D26F8">
      <w:pPr>
        <w:pStyle w:val="Heading3"/>
        <w:rPr>
          <w:rFonts w:ascii="Times New Roman" w:hAnsi="Times New Roman" w:cs="Times New Roman"/>
          <w:sz w:val="28"/>
          <w:szCs w:val="28"/>
          <w:u w:val="single"/>
        </w:rPr>
      </w:pPr>
    </w:p>
    <w:p w:rsidR="005D26F8" w:rsidRPr="00147079" w:rsidRDefault="005D26F8" w:rsidP="005D26F8">
      <w:pPr>
        <w:pStyle w:val="Heading3"/>
        <w:rPr>
          <w:rFonts w:ascii="Times New Roman" w:hAnsi="Times New Roman" w:cs="Times New Roman"/>
          <w:sz w:val="28"/>
          <w:szCs w:val="28"/>
          <w:u w:val="single"/>
        </w:rPr>
      </w:pPr>
      <w:r w:rsidRPr="00147079">
        <w:rPr>
          <w:rFonts w:ascii="Times New Roman" w:hAnsi="Times New Roman" w:cs="Times New Roman"/>
          <w:sz w:val="28"/>
          <w:szCs w:val="28"/>
          <w:u w:val="single"/>
        </w:rPr>
        <w:t>A</w:t>
      </w:r>
      <w:r w:rsidR="008661B6" w:rsidRPr="00147079">
        <w:rPr>
          <w:rFonts w:ascii="Times New Roman" w:hAnsi="Times New Roman" w:cs="Times New Roman"/>
          <w:sz w:val="28"/>
          <w:szCs w:val="28"/>
          <w:u w:val="single"/>
        </w:rPr>
        <w:t>piary</w:t>
      </w:r>
      <w:r w:rsidR="00A9671F">
        <w:rPr>
          <w:rFonts w:ascii="Times New Roman" w:hAnsi="Times New Roman" w:cs="Times New Roman"/>
          <w:sz w:val="28"/>
          <w:szCs w:val="28"/>
          <w:u w:val="single"/>
        </w:rPr>
        <w:t xml:space="preserve"> Sits</w:t>
      </w:r>
    </w:p>
    <w:p w:rsidR="005D26F8" w:rsidRPr="005D26F8" w:rsidRDefault="005D26F8" w:rsidP="005D26F8">
      <w:pPr>
        <w:pStyle w:val="NormalWeb"/>
        <w:rPr>
          <w:lang w:val="en"/>
        </w:rPr>
      </w:pPr>
      <w:r w:rsidRPr="005D26F8">
        <w:rPr>
          <w:lang w:val="en"/>
        </w:rPr>
        <w:t xml:space="preserve">An </w:t>
      </w:r>
      <w:r w:rsidRPr="005D26F8">
        <w:rPr>
          <w:bCs/>
          <w:lang w:val="en"/>
        </w:rPr>
        <w:t>apiary</w:t>
      </w:r>
      <w:r w:rsidRPr="005D26F8">
        <w:rPr>
          <w:lang w:val="en"/>
        </w:rPr>
        <w:t xml:space="preserve"> (also known as a </w:t>
      </w:r>
      <w:r w:rsidRPr="005D26F8">
        <w:rPr>
          <w:bCs/>
          <w:lang w:val="en"/>
        </w:rPr>
        <w:t>bee yard</w:t>
      </w:r>
      <w:r w:rsidRPr="005D26F8">
        <w:rPr>
          <w:lang w:val="en"/>
        </w:rPr>
        <w:t xml:space="preserve">) is a place where </w:t>
      </w:r>
      <w:hyperlink r:id="rId9" w:tooltip="Beehive (beekeeping)" w:history="1">
        <w:r w:rsidRPr="005D26F8">
          <w:rPr>
            <w:rStyle w:val="Hyperlink"/>
            <w:color w:val="auto"/>
            <w:u w:val="none"/>
            <w:lang w:val="en"/>
          </w:rPr>
          <w:t>beehives</w:t>
        </w:r>
      </w:hyperlink>
      <w:r w:rsidRPr="005D26F8">
        <w:rPr>
          <w:lang w:val="en"/>
        </w:rPr>
        <w:t xml:space="preserve"> of </w:t>
      </w:r>
      <w:hyperlink r:id="rId10" w:tooltip="Honey bee" w:history="1">
        <w:r w:rsidRPr="005D26F8">
          <w:rPr>
            <w:rStyle w:val="Hyperlink"/>
            <w:color w:val="auto"/>
            <w:u w:val="none"/>
            <w:lang w:val="en"/>
          </w:rPr>
          <w:t>honey bees</w:t>
        </w:r>
      </w:hyperlink>
      <w:r w:rsidRPr="005D26F8">
        <w:rPr>
          <w:lang w:val="en"/>
        </w:rPr>
        <w:t xml:space="preserve"> are kept. Traditionally </w:t>
      </w:r>
      <w:hyperlink r:id="rId11" w:tooltip="Beekeeper" w:history="1">
        <w:r w:rsidRPr="005D26F8">
          <w:rPr>
            <w:rStyle w:val="Hyperlink"/>
            <w:color w:val="auto"/>
            <w:u w:val="none"/>
            <w:lang w:val="en"/>
          </w:rPr>
          <w:t>beekeepers</w:t>
        </w:r>
      </w:hyperlink>
      <w:r w:rsidRPr="005D26F8">
        <w:rPr>
          <w:lang w:val="en"/>
        </w:rPr>
        <w:t xml:space="preserve"> (also known as apiarists) paid land rent in </w:t>
      </w:r>
      <w:hyperlink r:id="rId12" w:tooltip="Honey" w:history="1">
        <w:r w:rsidRPr="005D26F8">
          <w:rPr>
            <w:rStyle w:val="Hyperlink"/>
            <w:color w:val="auto"/>
            <w:u w:val="none"/>
            <w:lang w:val="en"/>
          </w:rPr>
          <w:t>honey</w:t>
        </w:r>
      </w:hyperlink>
      <w:r w:rsidRPr="005D26F8">
        <w:rPr>
          <w:lang w:val="en"/>
        </w:rPr>
        <w:t xml:space="preserve"> for the use of small parcels. Some </w:t>
      </w:r>
      <w:hyperlink r:id="rId13" w:tooltip="Farmer" w:history="1">
        <w:r w:rsidRPr="005D26F8">
          <w:rPr>
            <w:rStyle w:val="Hyperlink"/>
            <w:color w:val="auto"/>
            <w:u w:val="none"/>
            <w:lang w:val="en"/>
          </w:rPr>
          <w:t>farmers</w:t>
        </w:r>
      </w:hyperlink>
      <w:r w:rsidRPr="005D26F8">
        <w:rPr>
          <w:lang w:val="en"/>
        </w:rPr>
        <w:t xml:space="preserve"> will provide free apiary sites, because they need </w:t>
      </w:r>
      <w:hyperlink r:id="rId14" w:tooltip="Pollination" w:history="1">
        <w:r w:rsidRPr="005D26F8">
          <w:rPr>
            <w:rStyle w:val="Hyperlink"/>
            <w:color w:val="auto"/>
            <w:u w:val="none"/>
            <w:lang w:val="en"/>
          </w:rPr>
          <w:t>pollination</w:t>
        </w:r>
      </w:hyperlink>
      <w:r w:rsidRPr="005D26F8">
        <w:rPr>
          <w:lang w:val="en"/>
        </w:rPr>
        <w:t>, and farmers who need many hives often pay for them to be moved to the crops when they bloom.</w:t>
      </w:r>
      <w:r>
        <w:rPr>
          <w:rStyle w:val="FootnoteReference"/>
          <w:lang w:val="en"/>
        </w:rPr>
        <w:footnoteReference w:id="1"/>
      </w:r>
      <w:r w:rsidRPr="005D26F8">
        <w:rPr>
          <w:lang w:val="en"/>
        </w:rPr>
        <w:t xml:space="preserve"> </w:t>
      </w:r>
    </w:p>
    <w:p w:rsidR="008661B6" w:rsidRDefault="008661B6" w:rsidP="005D26F8">
      <w:pPr>
        <w:pStyle w:val="Heading3"/>
        <w:rPr>
          <w:rFonts w:ascii="Times New Roman" w:hAnsi="Times New Roman" w:cs="Times New Roman"/>
          <w:sz w:val="28"/>
          <w:szCs w:val="28"/>
        </w:rPr>
      </w:pPr>
      <w:r>
        <w:rPr>
          <w:rFonts w:ascii="Times New Roman" w:hAnsi="Times New Roman" w:cs="Times New Roman"/>
          <w:sz w:val="28"/>
          <w:szCs w:val="28"/>
        </w:rPr>
        <w:t>Sites</w:t>
      </w:r>
    </w:p>
    <w:p w:rsidR="008661B6" w:rsidRPr="008661B6" w:rsidRDefault="008661B6" w:rsidP="005D26F8">
      <w:pPr>
        <w:rPr>
          <w:rFonts w:ascii="Times New Roman" w:hAnsi="Times New Roman"/>
          <w:sz w:val="24"/>
        </w:rPr>
      </w:pPr>
      <w:r w:rsidRPr="008661B6">
        <w:rPr>
          <w:rFonts w:ascii="Times New Roman" w:hAnsi="Times New Roman"/>
          <w:sz w:val="24"/>
        </w:rPr>
        <w:t xml:space="preserve">There are generally two types of beekeeping:  stationary and migratory.  Stationary beekeeping is primarily focused on the production of honey in a single location.  Migratory beekeeping involves transporting bee colonies several times a year for crop pollination or moving bee colonies to produce different varieties of honey.  In the off-season winter months bee colonies are stockpiled, usually in southern states, while waiting for crops to bloom.  During this time they do not produce honey.  Each of these types of beekeeping requires the use of land on which to place the bee hives (structures where the colonies live).  </w:t>
      </w:r>
    </w:p>
    <w:p w:rsidR="008661B6" w:rsidRPr="008661B6" w:rsidRDefault="008661B6" w:rsidP="008661B6">
      <w:pPr>
        <w:rPr>
          <w:rFonts w:ascii="Times New Roman" w:hAnsi="Times New Roman"/>
          <w:sz w:val="24"/>
          <w:highlight w:val="yellow"/>
        </w:rPr>
      </w:pPr>
    </w:p>
    <w:p w:rsidR="005D26F8" w:rsidRDefault="008661B6" w:rsidP="008661B6">
      <w:pPr>
        <w:rPr>
          <w:rFonts w:ascii="Times New Roman" w:hAnsi="Times New Roman"/>
          <w:sz w:val="24"/>
        </w:rPr>
      </w:pPr>
      <w:r w:rsidRPr="008661B6">
        <w:rPr>
          <w:rFonts w:ascii="Times New Roman" w:hAnsi="Times New Roman"/>
          <w:sz w:val="24"/>
        </w:rPr>
        <w:t>Honey production varies yearly and regionally depending on rainfall, soil conditions, temperatures, cropping patterns, and hive management</w:t>
      </w:r>
      <w:r w:rsidR="005D26F8">
        <w:rPr>
          <w:rFonts w:ascii="Times New Roman" w:hAnsi="Times New Roman"/>
          <w:sz w:val="24"/>
        </w:rPr>
        <w:t>.</w:t>
      </w:r>
      <w:r w:rsidRPr="008661B6">
        <w:rPr>
          <w:rFonts w:ascii="Times New Roman" w:hAnsi="Times New Roman"/>
          <w:sz w:val="24"/>
        </w:rPr>
        <w:t xml:space="preserve">  Typical yield for stationary colonies may be only 10 to 25 pounds per colony in desert locations compared to 40 to 50 pounds per colony in populated areas.  Colonies placed on or near irrigated cropland tend to have the highest honey yields of 50 pounds or more.  </w:t>
      </w:r>
    </w:p>
    <w:p w:rsidR="005D26F8" w:rsidRDefault="005D26F8" w:rsidP="008661B6">
      <w:pPr>
        <w:rPr>
          <w:rFonts w:ascii="Times New Roman" w:hAnsi="Times New Roman"/>
          <w:sz w:val="24"/>
        </w:rPr>
      </w:pPr>
    </w:p>
    <w:p w:rsidR="005173E5" w:rsidRDefault="005173E5" w:rsidP="005173E5">
      <w:pPr>
        <w:spacing w:line="312" w:lineRule="atLeast"/>
        <w:ind w:right="150"/>
        <w:jc w:val="left"/>
        <w:rPr>
          <w:rFonts w:ascii="Times New Roman" w:hAnsi="Times New Roman"/>
          <w:color w:val="666666"/>
          <w:spacing w:val="0"/>
          <w:sz w:val="24"/>
          <w:szCs w:val="24"/>
          <w:lang w:val="en"/>
        </w:rPr>
      </w:pPr>
      <w:r w:rsidRPr="005173E5">
        <w:rPr>
          <w:rFonts w:ascii="Times New Roman" w:hAnsi="Times New Roman"/>
          <w:spacing w:val="0"/>
          <w:sz w:val="24"/>
          <w:szCs w:val="24"/>
          <w:lang w:val="en"/>
        </w:rPr>
        <w:t xml:space="preserve">There are estimated 115,000 – 125,000 beekeepers in the United States. </w:t>
      </w:r>
      <w:r>
        <w:rPr>
          <w:rFonts w:ascii="Times New Roman" w:hAnsi="Times New Roman"/>
          <w:spacing w:val="0"/>
          <w:sz w:val="24"/>
          <w:szCs w:val="24"/>
          <w:lang w:val="en"/>
        </w:rPr>
        <w:t xml:space="preserve"> </w:t>
      </w:r>
      <w:r w:rsidRPr="005173E5">
        <w:rPr>
          <w:rFonts w:ascii="Times New Roman" w:hAnsi="Times New Roman"/>
          <w:spacing w:val="0"/>
          <w:sz w:val="24"/>
          <w:szCs w:val="24"/>
          <w:lang w:val="en"/>
        </w:rPr>
        <w:t>The vast majority are hobbyists with less than 25 hives.  Commercial beekeepers are those with 300 or more hives.  The number of U.S. honey bee colonies producing honey in 2013 was 2.64 million (based on beekeepers who manage five or more colonies), up 4% from 2012.</w:t>
      </w:r>
      <w:r w:rsidRPr="005173E5">
        <w:rPr>
          <w:rFonts w:ascii="Times New Roman" w:hAnsi="Times New Roman"/>
          <w:spacing w:val="0"/>
          <w:sz w:val="24"/>
          <w:szCs w:val="24"/>
          <w:vertAlign w:val="superscript"/>
          <w:lang w:val="en"/>
        </w:rPr>
        <w:t>2</w:t>
      </w:r>
      <w:r w:rsidR="001D1E47" w:rsidRPr="005173E5">
        <w:rPr>
          <w:rFonts w:ascii="Times New Roman" w:hAnsi="Times New Roman"/>
          <w:spacing w:val="0"/>
          <w:sz w:val="24"/>
          <w:szCs w:val="24"/>
          <w:lang w:val="en"/>
        </w:rPr>
        <w:t> </w:t>
      </w:r>
      <w:proofErr w:type="gramStart"/>
      <w:r w:rsidR="001D1E47" w:rsidRPr="005173E5">
        <w:rPr>
          <w:rFonts w:ascii="Times New Roman" w:hAnsi="Times New Roman"/>
          <w:spacing w:val="0"/>
          <w:sz w:val="24"/>
          <w:szCs w:val="24"/>
          <w:lang w:val="en"/>
        </w:rPr>
        <w:t>Many</w:t>
      </w:r>
      <w:proofErr w:type="gramEnd"/>
      <w:r w:rsidRPr="005173E5">
        <w:rPr>
          <w:rFonts w:ascii="Times New Roman" w:hAnsi="Times New Roman"/>
          <w:spacing w:val="0"/>
          <w:sz w:val="24"/>
          <w:szCs w:val="24"/>
          <w:lang w:val="en"/>
        </w:rPr>
        <w:t xml:space="preserve"> commercial beekeepers migrate their colonies during the year to provide pollination services to farmers and to reach the most abundant sources of nectar.  Commercial beekeeping operations are frequently family businesses that are handed down from generation to generation</w:t>
      </w:r>
      <w:r w:rsidRPr="005173E5">
        <w:rPr>
          <w:rFonts w:ascii="Times New Roman" w:hAnsi="Times New Roman"/>
          <w:color w:val="666666"/>
          <w:spacing w:val="0"/>
          <w:sz w:val="24"/>
          <w:szCs w:val="24"/>
          <w:lang w:val="en"/>
        </w:rPr>
        <w:t>.</w:t>
      </w:r>
    </w:p>
    <w:p w:rsidR="005173E5" w:rsidRDefault="005173E5" w:rsidP="005173E5">
      <w:pPr>
        <w:spacing w:line="312" w:lineRule="atLeast"/>
        <w:ind w:right="150"/>
        <w:jc w:val="left"/>
        <w:rPr>
          <w:rFonts w:ascii="Times New Roman" w:hAnsi="Times New Roman"/>
          <w:color w:val="666666"/>
          <w:spacing w:val="0"/>
          <w:sz w:val="24"/>
          <w:szCs w:val="24"/>
          <w:lang w:val="en"/>
        </w:rPr>
      </w:pPr>
    </w:p>
    <w:p w:rsidR="005173E5" w:rsidRDefault="005173E5" w:rsidP="005173E5">
      <w:pPr>
        <w:spacing w:line="312" w:lineRule="atLeast"/>
        <w:ind w:right="150"/>
        <w:jc w:val="left"/>
        <w:rPr>
          <w:rFonts w:ascii="Times New Roman" w:hAnsi="Times New Roman"/>
          <w:spacing w:val="0"/>
          <w:sz w:val="24"/>
          <w:szCs w:val="24"/>
          <w:lang w:val="en"/>
        </w:rPr>
      </w:pPr>
      <w:r w:rsidRPr="005173E5">
        <w:rPr>
          <w:rFonts w:ascii="Times New Roman" w:hAnsi="Times New Roman"/>
          <w:spacing w:val="0"/>
          <w:sz w:val="24"/>
          <w:szCs w:val="24"/>
          <w:lang w:val="en"/>
        </w:rPr>
        <w:lastRenderedPageBreak/>
        <w:t>Honey production in 2013 from producers with five or more colonies totaled 149 million pounds, up 5 percent from 2012. The average producer price per pound was $2.121, up 6% from $1.992 in 2012. The 2013 cro</w:t>
      </w:r>
      <w:r>
        <w:rPr>
          <w:rFonts w:ascii="Times New Roman" w:hAnsi="Times New Roman"/>
          <w:spacing w:val="0"/>
          <w:sz w:val="24"/>
          <w:szCs w:val="24"/>
          <w:lang w:val="en"/>
        </w:rPr>
        <w:t>p was valued at $317.1 million.</w:t>
      </w:r>
      <w:r>
        <w:rPr>
          <w:rStyle w:val="FootnoteReference"/>
          <w:rFonts w:ascii="Times New Roman" w:hAnsi="Times New Roman"/>
          <w:spacing w:val="0"/>
          <w:sz w:val="24"/>
          <w:szCs w:val="24"/>
          <w:lang w:val="en"/>
        </w:rPr>
        <w:footnoteReference w:id="2"/>
      </w:r>
    </w:p>
    <w:p w:rsidR="005173E5" w:rsidRDefault="005173E5" w:rsidP="005173E5">
      <w:pPr>
        <w:spacing w:line="312" w:lineRule="atLeast"/>
        <w:ind w:right="150"/>
        <w:jc w:val="left"/>
        <w:rPr>
          <w:rFonts w:ascii="Times New Roman" w:hAnsi="Times New Roman"/>
          <w:spacing w:val="0"/>
          <w:sz w:val="24"/>
          <w:szCs w:val="24"/>
          <w:lang w:val="en"/>
        </w:rPr>
      </w:pPr>
    </w:p>
    <w:p w:rsidR="005173E5" w:rsidRDefault="005173E5" w:rsidP="005173E5">
      <w:pPr>
        <w:spacing w:line="312" w:lineRule="atLeast"/>
        <w:ind w:right="150"/>
        <w:jc w:val="left"/>
        <w:rPr>
          <w:rFonts w:ascii="Times New Roman" w:hAnsi="Times New Roman"/>
          <w:spacing w:val="0"/>
          <w:sz w:val="24"/>
          <w:szCs w:val="24"/>
          <w:lang w:val="en"/>
        </w:rPr>
      </w:pPr>
      <w:r>
        <w:rPr>
          <w:rFonts w:ascii="Times New Roman" w:hAnsi="Times New Roman"/>
          <w:spacing w:val="0"/>
          <w:sz w:val="24"/>
          <w:szCs w:val="24"/>
          <w:lang w:val="en"/>
        </w:rPr>
        <w:t>Honey is produced in every state, the following states</w:t>
      </w:r>
      <w:r w:rsidR="00A50BFB">
        <w:rPr>
          <w:rFonts w:ascii="Times New Roman" w:hAnsi="Times New Roman"/>
          <w:spacing w:val="0"/>
          <w:sz w:val="24"/>
          <w:szCs w:val="24"/>
          <w:lang w:val="en"/>
        </w:rPr>
        <w:t xml:space="preserve"> were</w:t>
      </w:r>
      <w:r>
        <w:rPr>
          <w:rFonts w:ascii="Times New Roman" w:hAnsi="Times New Roman"/>
          <w:spacing w:val="0"/>
          <w:sz w:val="24"/>
          <w:szCs w:val="24"/>
          <w:lang w:val="en"/>
        </w:rPr>
        <w:t xml:space="preserve"> the top five honey producing states in 2013:</w:t>
      </w:r>
    </w:p>
    <w:p w:rsidR="00A50BFB" w:rsidRDefault="00A50BFB" w:rsidP="005173E5">
      <w:pPr>
        <w:spacing w:line="312" w:lineRule="atLeast"/>
        <w:ind w:right="150" w:firstLine="720"/>
        <w:rPr>
          <w:rFonts w:ascii="Times New Roman" w:hAnsi="Times New Roman"/>
          <w:sz w:val="24"/>
          <w:szCs w:val="24"/>
          <w:u w:val="single"/>
          <w:lang w:val="en"/>
        </w:rPr>
      </w:pPr>
    </w:p>
    <w:p w:rsidR="005173E5" w:rsidRPr="00A50BFB" w:rsidRDefault="005173E5" w:rsidP="005173E5">
      <w:pPr>
        <w:spacing w:line="312" w:lineRule="atLeast"/>
        <w:ind w:right="150" w:firstLine="720"/>
        <w:rPr>
          <w:rFonts w:ascii="Times New Roman" w:hAnsi="Times New Roman"/>
          <w:sz w:val="24"/>
          <w:szCs w:val="24"/>
          <w:u w:val="single"/>
          <w:lang w:val="en"/>
        </w:rPr>
      </w:pPr>
      <w:r w:rsidRPr="00A50BFB">
        <w:rPr>
          <w:rFonts w:ascii="Times New Roman" w:hAnsi="Times New Roman"/>
          <w:sz w:val="24"/>
          <w:szCs w:val="24"/>
          <w:u w:val="single"/>
          <w:lang w:val="en"/>
        </w:rPr>
        <w:t>State</w:t>
      </w:r>
      <w:r w:rsidRPr="00A50BFB">
        <w:rPr>
          <w:rFonts w:ascii="Times New Roman" w:hAnsi="Times New Roman"/>
          <w:sz w:val="24"/>
          <w:szCs w:val="24"/>
          <w:u w:val="single"/>
          <w:lang w:val="en"/>
        </w:rPr>
        <w:tab/>
      </w:r>
      <w:r w:rsidRPr="00A50BFB">
        <w:rPr>
          <w:rFonts w:ascii="Times New Roman" w:hAnsi="Times New Roman"/>
          <w:sz w:val="24"/>
          <w:szCs w:val="24"/>
          <w:u w:val="single"/>
          <w:lang w:val="en"/>
        </w:rPr>
        <w:tab/>
      </w:r>
      <w:r w:rsidR="00A50BFB">
        <w:rPr>
          <w:rFonts w:ascii="Times New Roman" w:hAnsi="Times New Roman"/>
          <w:sz w:val="24"/>
          <w:szCs w:val="24"/>
          <w:u w:val="single"/>
          <w:lang w:val="en"/>
        </w:rPr>
        <w:t xml:space="preserve">       </w:t>
      </w:r>
      <w:r w:rsidRPr="00A50BFB">
        <w:rPr>
          <w:rFonts w:ascii="Times New Roman" w:hAnsi="Times New Roman"/>
          <w:sz w:val="24"/>
          <w:szCs w:val="24"/>
          <w:u w:val="single"/>
          <w:lang w:val="en"/>
        </w:rPr>
        <w:t>Pounds Produced</w:t>
      </w:r>
      <w:r w:rsidRPr="00A50BFB">
        <w:rPr>
          <w:rFonts w:ascii="Times New Roman" w:hAnsi="Times New Roman"/>
          <w:sz w:val="24"/>
          <w:szCs w:val="24"/>
          <w:u w:val="single"/>
          <w:lang w:val="en"/>
        </w:rPr>
        <w:tab/>
      </w:r>
      <w:r w:rsidRPr="00A50BFB">
        <w:rPr>
          <w:rFonts w:ascii="Times New Roman" w:hAnsi="Times New Roman"/>
          <w:sz w:val="24"/>
          <w:szCs w:val="24"/>
          <w:u w:val="single"/>
          <w:lang w:val="en"/>
        </w:rPr>
        <w:tab/>
        <w:t>Dollar Value of Production</w:t>
      </w:r>
    </w:p>
    <w:p w:rsidR="005173E5" w:rsidRDefault="005173E5" w:rsidP="005173E5">
      <w:pPr>
        <w:pStyle w:val="ListParagraph"/>
        <w:numPr>
          <w:ilvl w:val="0"/>
          <w:numId w:val="2"/>
        </w:numPr>
        <w:spacing w:line="312" w:lineRule="atLeast"/>
        <w:ind w:right="150"/>
        <w:rPr>
          <w:rFonts w:ascii="Times New Roman" w:hAnsi="Times New Roman"/>
          <w:sz w:val="24"/>
          <w:szCs w:val="24"/>
          <w:lang w:val="en"/>
        </w:rPr>
      </w:pPr>
      <w:r>
        <w:rPr>
          <w:rFonts w:ascii="Times New Roman" w:hAnsi="Times New Roman"/>
          <w:sz w:val="24"/>
          <w:szCs w:val="24"/>
          <w:lang w:val="en"/>
        </w:rPr>
        <w:t>North Dakota</w:t>
      </w:r>
      <w:r>
        <w:rPr>
          <w:rFonts w:ascii="Times New Roman" w:hAnsi="Times New Roman"/>
          <w:sz w:val="24"/>
          <w:szCs w:val="24"/>
          <w:lang w:val="en"/>
        </w:rPr>
        <w:tab/>
      </w:r>
      <w:r>
        <w:rPr>
          <w:rFonts w:ascii="Times New Roman" w:hAnsi="Times New Roman"/>
          <w:sz w:val="24"/>
          <w:szCs w:val="24"/>
          <w:lang w:val="en"/>
        </w:rPr>
        <w:tab/>
        <w:t>33,120,000</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t>$67,565,000</w:t>
      </w:r>
    </w:p>
    <w:p w:rsidR="005173E5" w:rsidRDefault="005173E5" w:rsidP="005173E5">
      <w:pPr>
        <w:pStyle w:val="ListParagraph"/>
        <w:numPr>
          <w:ilvl w:val="0"/>
          <w:numId w:val="2"/>
        </w:numPr>
        <w:spacing w:line="312" w:lineRule="atLeast"/>
        <w:ind w:right="150"/>
        <w:rPr>
          <w:rFonts w:ascii="Times New Roman" w:hAnsi="Times New Roman"/>
          <w:sz w:val="24"/>
          <w:szCs w:val="24"/>
          <w:lang w:val="en"/>
        </w:rPr>
      </w:pPr>
      <w:r>
        <w:rPr>
          <w:rFonts w:ascii="Times New Roman" w:hAnsi="Times New Roman"/>
          <w:sz w:val="24"/>
          <w:szCs w:val="24"/>
          <w:lang w:val="en"/>
        </w:rPr>
        <w:t>Montana</w:t>
      </w:r>
      <w:r>
        <w:rPr>
          <w:rFonts w:ascii="Times New Roman" w:hAnsi="Times New Roman"/>
          <w:sz w:val="24"/>
          <w:szCs w:val="24"/>
          <w:lang w:val="en"/>
        </w:rPr>
        <w:tab/>
      </w:r>
      <w:r>
        <w:rPr>
          <w:rFonts w:ascii="Times New Roman" w:hAnsi="Times New Roman"/>
          <w:sz w:val="24"/>
          <w:szCs w:val="24"/>
          <w:lang w:val="en"/>
        </w:rPr>
        <w:tab/>
        <w:t>14,946,000</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t>$31,088,000</w:t>
      </w:r>
    </w:p>
    <w:p w:rsidR="005173E5" w:rsidRDefault="005173E5" w:rsidP="005173E5">
      <w:pPr>
        <w:pStyle w:val="ListParagraph"/>
        <w:numPr>
          <w:ilvl w:val="0"/>
          <w:numId w:val="2"/>
        </w:numPr>
        <w:spacing w:line="312" w:lineRule="atLeast"/>
        <w:ind w:right="150"/>
        <w:rPr>
          <w:rFonts w:ascii="Times New Roman" w:hAnsi="Times New Roman"/>
          <w:sz w:val="24"/>
          <w:szCs w:val="24"/>
          <w:lang w:val="en"/>
        </w:rPr>
      </w:pPr>
      <w:r>
        <w:rPr>
          <w:rFonts w:ascii="Times New Roman" w:hAnsi="Times New Roman"/>
          <w:sz w:val="24"/>
          <w:szCs w:val="24"/>
          <w:lang w:val="en"/>
        </w:rPr>
        <w:t>South Dakota</w:t>
      </w:r>
      <w:r>
        <w:rPr>
          <w:rFonts w:ascii="Times New Roman" w:hAnsi="Times New Roman"/>
          <w:sz w:val="24"/>
          <w:szCs w:val="24"/>
          <w:lang w:val="en"/>
        </w:rPr>
        <w:tab/>
      </w:r>
      <w:r>
        <w:rPr>
          <w:rFonts w:ascii="Times New Roman" w:hAnsi="Times New Roman"/>
          <w:sz w:val="24"/>
          <w:szCs w:val="24"/>
          <w:lang w:val="en"/>
        </w:rPr>
        <w:tab/>
        <w:t>14,840,000</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t>$30,570,000</w:t>
      </w:r>
    </w:p>
    <w:p w:rsidR="005173E5" w:rsidRDefault="005173E5" w:rsidP="005173E5">
      <w:pPr>
        <w:pStyle w:val="ListParagraph"/>
        <w:numPr>
          <w:ilvl w:val="0"/>
          <w:numId w:val="2"/>
        </w:numPr>
        <w:spacing w:line="312" w:lineRule="atLeast"/>
        <w:ind w:right="150"/>
        <w:rPr>
          <w:rFonts w:ascii="Times New Roman" w:hAnsi="Times New Roman"/>
          <w:sz w:val="24"/>
          <w:szCs w:val="24"/>
          <w:lang w:val="en"/>
        </w:rPr>
      </w:pPr>
      <w:r>
        <w:rPr>
          <w:rFonts w:ascii="Times New Roman" w:hAnsi="Times New Roman"/>
          <w:sz w:val="24"/>
          <w:szCs w:val="24"/>
          <w:lang w:val="en"/>
        </w:rPr>
        <w:t>Florida</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t>13,420,000</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t>$</w:t>
      </w:r>
      <w:r w:rsidR="00A50BFB">
        <w:rPr>
          <w:rFonts w:ascii="Times New Roman" w:hAnsi="Times New Roman"/>
          <w:sz w:val="24"/>
          <w:szCs w:val="24"/>
          <w:lang w:val="en"/>
        </w:rPr>
        <w:t>27,377,000</w:t>
      </w:r>
    </w:p>
    <w:p w:rsidR="00A50BFB" w:rsidRPr="005173E5" w:rsidRDefault="00A50BFB" w:rsidP="005173E5">
      <w:pPr>
        <w:pStyle w:val="ListParagraph"/>
        <w:numPr>
          <w:ilvl w:val="0"/>
          <w:numId w:val="2"/>
        </w:numPr>
        <w:spacing w:line="312" w:lineRule="atLeast"/>
        <w:ind w:right="150"/>
        <w:rPr>
          <w:rFonts w:ascii="Times New Roman" w:hAnsi="Times New Roman"/>
          <w:sz w:val="24"/>
          <w:szCs w:val="24"/>
          <w:lang w:val="en"/>
        </w:rPr>
      </w:pPr>
      <w:r>
        <w:rPr>
          <w:rFonts w:ascii="Times New Roman" w:hAnsi="Times New Roman"/>
          <w:sz w:val="24"/>
          <w:szCs w:val="24"/>
          <w:lang w:val="en"/>
        </w:rPr>
        <w:t>California</w:t>
      </w:r>
      <w:r>
        <w:rPr>
          <w:rFonts w:ascii="Times New Roman" w:hAnsi="Times New Roman"/>
          <w:sz w:val="24"/>
          <w:szCs w:val="24"/>
          <w:lang w:val="en"/>
        </w:rPr>
        <w:tab/>
      </w:r>
      <w:r>
        <w:rPr>
          <w:rFonts w:ascii="Times New Roman" w:hAnsi="Times New Roman"/>
          <w:sz w:val="24"/>
          <w:szCs w:val="24"/>
          <w:lang w:val="en"/>
        </w:rPr>
        <w:tab/>
        <w:t>10,890,000</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t>$22,869,000</w:t>
      </w:r>
    </w:p>
    <w:p w:rsidR="005173E5" w:rsidRDefault="00DD0DE4" w:rsidP="00DD0DE4">
      <w:pPr>
        <w:jc w:val="left"/>
        <w:rPr>
          <w:rFonts w:ascii="Times New Roman" w:hAnsi="Times New Roman"/>
          <w:b/>
          <w:sz w:val="28"/>
          <w:szCs w:val="28"/>
        </w:rPr>
      </w:pPr>
      <w:r w:rsidRPr="00DD0DE4">
        <w:rPr>
          <w:rFonts w:ascii="Times New Roman" w:hAnsi="Times New Roman"/>
          <w:b/>
          <w:sz w:val="28"/>
          <w:szCs w:val="28"/>
        </w:rPr>
        <w:t>United States Honey Production Up 5 Percent</w:t>
      </w:r>
    </w:p>
    <w:p w:rsidR="00DD0DE4" w:rsidRDefault="00DD0DE4" w:rsidP="00DD0DE4">
      <w:pPr>
        <w:jc w:val="left"/>
        <w:rPr>
          <w:rFonts w:ascii="Times New Roman" w:hAnsi="Times New Roman"/>
          <w:sz w:val="24"/>
          <w:szCs w:val="24"/>
        </w:rPr>
      </w:pPr>
    </w:p>
    <w:p w:rsidR="00D86CD5" w:rsidRDefault="00DD0DE4" w:rsidP="00DD0DE4">
      <w:pPr>
        <w:jc w:val="left"/>
        <w:rPr>
          <w:rFonts w:ascii="Times New Roman" w:hAnsi="Times New Roman"/>
          <w:sz w:val="24"/>
          <w:szCs w:val="24"/>
        </w:rPr>
      </w:pPr>
      <w:r>
        <w:rPr>
          <w:rFonts w:ascii="Times New Roman" w:hAnsi="Times New Roman"/>
          <w:sz w:val="24"/>
          <w:szCs w:val="24"/>
        </w:rPr>
        <w:t xml:space="preserve">Honey production in 2013 from producers with five or more colonies totaled 149 million pounds, up 5 percent from 2012. There were 2.64 million colonies producing honey in 2013, up 4 percent from 2012. Yield per colony averaged 56.6 pounds, up 1 percent from the 56.0 pounds in 2012. Colonies which produced honey in more than one State were counted in each State where the honey was produced. Therefore, at the United States level yield per colony may be </w:t>
      </w:r>
      <w:r w:rsidR="00D86CD5">
        <w:rPr>
          <w:rFonts w:ascii="Times New Roman" w:hAnsi="Times New Roman"/>
          <w:sz w:val="24"/>
          <w:szCs w:val="24"/>
        </w:rPr>
        <w:t>understated,</w:t>
      </w:r>
      <w:r>
        <w:rPr>
          <w:rFonts w:ascii="Times New Roman" w:hAnsi="Times New Roman"/>
          <w:sz w:val="24"/>
          <w:szCs w:val="24"/>
        </w:rPr>
        <w:t xml:space="preserve"> but total </w:t>
      </w:r>
      <w:r w:rsidR="00D86CD5">
        <w:rPr>
          <w:rFonts w:ascii="Times New Roman" w:hAnsi="Times New Roman"/>
          <w:sz w:val="24"/>
          <w:szCs w:val="24"/>
        </w:rPr>
        <w:t xml:space="preserve">production would not be impacted. Producer honey stocks were 38.2 million pounds on December 15, 2013, up 20 percent from a year earlier. Stocks held by producers exclude those held under the commodity loan program. </w:t>
      </w:r>
    </w:p>
    <w:p w:rsidR="00147079" w:rsidRDefault="00147079" w:rsidP="00DD0DE4">
      <w:pPr>
        <w:jc w:val="left"/>
        <w:rPr>
          <w:rFonts w:ascii="Times New Roman" w:hAnsi="Times New Roman"/>
          <w:sz w:val="24"/>
          <w:szCs w:val="24"/>
        </w:rPr>
      </w:pPr>
    </w:p>
    <w:p w:rsidR="00147079" w:rsidRDefault="00147079" w:rsidP="00DD0DE4">
      <w:pPr>
        <w:jc w:val="left"/>
        <w:rPr>
          <w:rFonts w:ascii="Times New Roman" w:hAnsi="Times New Roman"/>
          <w:b/>
          <w:sz w:val="28"/>
          <w:szCs w:val="28"/>
        </w:rPr>
      </w:pPr>
      <w:r>
        <w:rPr>
          <w:rFonts w:ascii="Times New Roman" w:hAnsi="Times New Roman"/>
          <w:b/>
          <w:sz w:val="28"/>
          <w:szCs w:val="28"/>
        </w:rPr>
        <w:t>Record High Honey Prices</w:t>
      </w:r>
    </w:p>
    <w:p w:rsidR="00147079" w:rsidRDefault="00147079" w:rsidP="00DD0DE4">
      <w:pPr>
        <w:jc w:val="left"/>
        <w:rPr>
          <w:rFonts w:ascii="Times New Roman" w:hAnsi="Times New Roman"/>
          <w:b/>
          <w:sz w:val="28"/>
          <w:szCs w:val="28"/>
        </w:rPr>
      </w:pPr>
    </w:p>
    <w:p w:rsidR="001D1E47" w:rsidRPr="001D1E47" w:rsidRDefault="00147079" w:rsidP="001D1E47">
      <w:pPr>
        <w:jc w:val="left"/>
        <w:rPr>
          <w:rFonts w:ascii="Times New Roman" w:hAnsi="Times New Roman"/>
          <w:sz w:val="24"/>
          <w:szCs w:val="24"/>
        </w:rPr>
      </w:pPr>
      <w:r>
        <w:rPr>
          <w:rFonts w:ascii="Times New Roman" w:hAnsi="Times New Roman"/>
          <w:sz w:val="24"/>
          <w:szCs w:val="24"/>
        </w:rPr>
        <w:t xml:space="preserve">Honey prices increased to a record high during 2013 to 212.1 cents per pound, up 6 percent from 199.2 cents per pound in 2012. United States and State level prices reflect the portions of honey sold through cooperatives, private, and retail channels. </w:t>
      </w:r>
    </w:p>
    <w:p w:rsidR="006059C6" w:rsidRPr="00410B81" w:rsidRDefault="006059C6" w:rsidP="001D1E47">
      <w:pPr>
        <w:pStyle w:val="Heading3"/>
      </w:pPr>
      <w:r w:rsidRPr="00410B81">
        <w:t>Analysis</w:t>
      </w:r>
    </w:p>
    <w:p w:rsidR="006059C6" w:rsidRPr="00410B81" w:rsidRDefault="006059C6" w:rsidP="002156BD">
      <w:pPr>
        <w:jc w:val="left"/>
        <w:rPr>
          <w:rFonts w:ascii="Times New Roman" w:hAnsi="Times New Roman"/>
          <w:sz w:val="24"/>
        </w:rPr>
      </w:pPr>
      <w:r w:rsidRPr="00410B81">
        <w:rPr>
          <w:rFonts w:ascii="Times New Roman" w:hAnsi="Times New Roman"/>
          <w:sz w:val="24"/>
        </w:rPr>
        <w:t>Research indicates that rental rates for typical apiary sites on private land used for honey production are paid in honey to the landowner</w:t>
      </w:r>
      <w:r w:rsidR="002156BD">
        <w:rPr>
          <w:rFonts w:ascii="Times New Roman" w:hAnsi="Times New Roman"/>
          <w:sz w:val="24"/>
        </w:rPr>
        <w:t xml:space="preserve">, typically at a rate </w:t>
      </w:r>
      <w:r w:rsidRPr="00410B81">
        <w:rPr>
          <w:rFonts w:ascii="Times New Roman" w:hAnsi="Times New Roman"/>
          <w:sz w:val="24"/>
        </w:rPr>
        <w:t xml:space="preserve">equivalent to approximately 1% of the honey produced from a typical site consisting of 100 colonies.  Since it is not practical to receive payment in honey, NASS data was used to estimate the dollar value of 1% of honey production per site of 100 colonies located in </w:t>
      </w:r>
      <w:r w:rsidR="002156BD">
        <w:rPr>
          <w:rFonts w:ascii="Times New Roman" w:hAnsi="Times New Roman"/>
          <w:sz w:val="24"/>
        </w:rPr>
        <w:t>Montana, North Dakota and South Dakota.</w:t>
      </w:r>
      <w:r w:rsidRPr="00410B81">
        <w:rPr>
          <w:rFonts w:ascii="Times New Roman" w:hAnsi="Times New Roman"/>
          <w:sz w:val="24"/>
        </w:rPr>
        <w:t xml:space="preserve">  US production data is also considered.  Due to the fluctuation in annual honey yield and price, a</w:t>
      </w:r>
      <w:r w:rsidR="00410B81" w:rsidRPr="00410B81">
        <w:rPr>
          <w:rFonts w:ascii="Times New Roman" w:hAnsi="Times New Roman"/>
          <w:sz w:val="24"/>
        </w:rPr>
        <w:t xml:space="preserve">n </w:t>
      </w:r>
      <w:r w:rsidRPr="00410B81">
        <w:rPr>
          <w:rFonts w:ascii="Times New Roman" w:hAnsi="Times New Roman"/>
          <w:sz w:val="24"/>
        </w:rPr>
        <w:t xml:space="preserve">average </w:t>
      </w:r>
      <w:r w:rsidR="00410B81" w:rsidRPr="00410B81">
        <w:rPr>
          <w:rFonts w:ascii="Times New Roman" w:hAnsi="Times New Roman"/>
          <w:sz w:val="24"/>
        </w:rPr>
        <w:t xml:space="preserve">of the years of 2012 and 2013 </w:t>
      </w:r>
      <w:r w:rsidRPr="00410B81">
        <w:rPr>
          <w:rFonts w:ascii="Times New Roman" w:hAnsi="Times New Roman"/>
          <w:sz w:val="24"/>
        </w:rPr>
        <w:t>was used to determine the value of 1% yield per 100 colonies as follows:</w:t>
      </w:r>
    </w:p>
    <w:p w:rsidR="006059C6" w:rsidRDefault="006059C6" w:rsidP="006059C6">
      <w:pPr>
        <w:rPr>
          <w:sz w:val="24"/>
        </w:rPr>
      </w:pPr>
    </w:p>
    <w:p w:rsidR="001D1E47" w:rsidRDefault="001D1E47" w:rsidP="006059C6">
      <w:pPr>
        <w:rPr>
          <w:sz w:val="24"/>
        </w:rPr>
      </w:pPr>
    </w:p>
    <w:tbl>
      <w:tblPr>
        <w:tblW w:w="8097" w:type="dxa"/>
        <w:tblInd w:w="108" w:type="dxa"/>
        <w:tblLayout w:type="fixed"/>
        <w:tblLook w:val="04A0" w:firstRow="1" w:lastRow="0" w:firstColumn="1" w:lastColumn="0" w:noHBand="0" w:noVBand="1"/>
      </w:tblPr>
      <w:tblGrid>
        <w:gridCol w:w="2688"/>
        <w:gridCol w:w="1263"/>
        <w:gridCol w:w="1263"/>
        <w:gridCol w:w="1263"/>
        <w:gridCol w:w="1620"/>
      </w:tblGrid>
      <w:tr w:rsidR="002A6DC8" w:rsidTr="002A6DC8">
        <w:trPr>
          <w:trHeight w:val="255"/>
        </w:trPr>
        <w:tc>
          <w:tcPr>
            <w:tcW w:w="2688" w:type="dxa"/>
            <w:noWrap/>
            <w:vAlign w:val="bottom"/>
          </w:tcPr>
          <w:p w:rsidR="002A6DC8" w:rsidRDefault="002A6DC8" w:rsidP="002A6DC8">
            <w:pPr>
              <w:autoSpaceDN w:val="0"/>
              <w:jc w:val="center"/>
              <w:rPr>
                <w:rFonts w:cs="Arial"/>
                <w:b/>
                <w:bCs/>
              </w:rPr>
            </w:pPr>
          </w:p>
        </w:tc>
        <w:tc>
          <w:tcPr>
            <w:tcW w:w="1263" w:type="dxa"/>
            <w:noWrap/>
            <w:vAlign w:val="bottom"/>
            <w:hideMark/>
          </w:tcPr>
          <w:p w:rsidR="002A6DC8" w:rsidRDefault="002A6DC8" w:rsidP="002A6DC8">
            <w:pPr>
              <w:autoSpaceDN w:val="0"/>
              <w:jc w:val="center"/>
              <w:rPr>
                <w:rFonts w:cs="Arial"/>
                <w:b/>
                <w:bCs/>
              </w:rPr>
            </w:pPr>
            <w:r>
              <w:rPr>
                <w:rFonts w:cs="Arial"/>
                <w:b/>
                <w:bCs/>
              </w:rPr>
              <w:t xml:space="preserve">           2012</w:t>
            </w:r>
          </w:p>
        </w:tc>
        <w:tc>
          <w:tcPr>
            <w:tcW w:w="1263" w:type="dxa"/>
            <w:noWrap/>
            <w:vAlign w:val="bottom"/>
            <w:hideMark/>
          </w:tcPr>
          <w:p w:rsidR="002A6DC8" w:rsidRDefault="002A6DC8" w:rsidP="002A6DC8">
            <w:pPr>
              <w:autoSpaceDN w:val="0"/>
              <w:jc w:val="left"/>
              <w:rPr>
                <w:rFonts w:cs="Arial"/>
                <w:b/>
                <w:bCs/>
              </w:rPr>
            </w:pPr>
            <w:r>
              <w:rPr>
                <w:rFonts w:cs="Arial"/>
                <w:b/>
                <w:bCs/>
              </w:rPr>
              <w:t xml:space="preserve">            2013</w:t>
            </w:r>
          </w:p>
        </w:tc>
        <w:tc>
          <w:tcPr>
            <w:tcW w:w="1263" w:type="dxa"/>
            <w:vAlign w:val="bottom"/>
          </w:tcPr>
          <w:p w:rsidR="002A6DC8" w:rsidRDefault="002A6DC8" w:rsidP="00E23549">
            <w:pPr>
              <w:autoSpaceDN w:val="0"/>
              <w:jc w:val="right"/>
              <w:rPr>
                <w:rFonts w:cs="Arial"/>
                <w:b/>
                <w:bCs/>
              </w:rPr>
            </w:pPr>
            <w:r>
              <w:rPr>
                <w:rFonts w:cs="Arial"/>
                <w:b/>
                <w:bCs/>
              </w:rPr>
              <w:t xml:space="preserve">2-Year </w:t>
            </w:r>
            <w:r w:rsidR="00E23549">
              <w:rPr>
                <w:rFonts w:cs="Arial"/>
                <w:b/>
                <w:bCs/>
              </w:rPr>
              <w:t xml:space="preserve">      </w:t>
            </w:r>
            <w:r>
              <w:rPr>
                <w:rFonts w:cs="Arial"/>
                <w:b/>
                <w:bCs/>
              </w:rPr>
              <w:t>Average</w:t>
            </w:r>
          </w:p>
        </w:tc>
        <w:tc>
          <w:tcPr>
            <w:tcW w:w="1620" w:type="dxa"/>
            <w:hideMark/>
          </w:tcPr>
          <w:p w:rsidR="002A6DC8" w:rsidRDefault="002A6DC8" w:rsidP="002A6DC8">
            <w:pPr>
              <w:autoSpaceDN w:val="0"/>
              <w:jc w:val="center"/>
              <w:rPr>
                <w:rFonts w:cs="Arial"/>
                <w:b/>
                <w:bCs/>
              </w:rPr>
            </w:pPr>
            <w:r>
              <w:rPr>
                <w:rFonts w:cs="Arial"/>
                <w:b/>
                <w:bCs/>
              </w:rPr>
              <w:t xml:space="preserve">Value of 1% Yield per 100 Colonies </w:t>
            </w:r>
          </w:p>
        </w:tc>
      </w:tr>
      <w:tr w:rsidR="002A6DC8" w:rsidTr="002A6DC8">
        <w:trPr>
          <w:trHeight w:val="255"/>
        </w:trPr>
        <w:tc>
          <w:tcPr>
            <w:tcW w:w="2688" w:type="dxa"/>
            <w:noWrap/>
            <w:vAlign w:val="bottom"/>
            <w:hideMark/>
          </w:tcPr>
          <w:p w:rsidR="002A6DC8" w:rsidRPr="00E23549" w:rsidRDefault="002A6DC8" w:rsidP="002A6DC8">
            <w:pPr>
              <w:autoSpaceDN w:val="0"/>
              <w:rPr>
                <w:rFonts w:cs="Arial"/>
                <w:b/>
              </w:rPr>
            </w:pPr>
            <w:r w:rsidRPr="00E23549">
              <w:rPr>
                <w:rFonts w:cs="Arial"/>
                <w:b/>
              </w:rPr>
              <w:t>US Colonies (1,000’s)</w:t>
            </w:r>
          </w:p>
        </w:tc>
        <w:tc>
          <w:tcPr>
            <w:tcW w:w="1263" w:type="dxa"/>
            <w:noWrap/>
            <w:vAlign w:val="bottom"/>
            <w:hideMark/>
          </w:tcPr>
          <w:p w:rsidR="002A6DC8" w:rsidRDefault="002A6DC8" w:rsidP="002A6DC8">
            <w:pPr>
              <w:autoSpaceDN w:val="0"/>
              <w:jc w:val="right"/>
              <w:rPr>
                <w:rFonts w:cs="Arial"/>
              </w:rPr>
            </w:pPr>
            <w:r>
              <w:rPr>
                <w:rFonts w:cs="Arial"/>
              </w:rPr>
              <w:t>2,539</w:t>
            </w:r>
          </w:p>
        </w:tc>
        <w:tc>
          <w:tcPr>
            <w:tcW w:w="1263" w:type="dxa"/>
            <w:noWrap/>
            <w:vAlign w:val="bottom"/>
            <w:hideMark/>
          </w:tcPr>
          <w:p w:rsidR="002A6DC8" w:rsidRDefault="002A6DC8" w:rsidP="002A6DC8">
            <w:pPr>
              <w:autoSpaceDN w:val="0"/>
              <w:jc w:val="right"/>
              <w:rPr>
                <w:rFonts w:cs="Arial"/>
              </w:rPr>
            </w:pPr>
            <w:r>
              <w:rPr>
                <w:rFonts w:cs="Arial"/>
              </w:rPr>
              <w:t>2,640</w:t>
            </w:r>
          </w:p>
        </w:tc>
        <w:tc>
          <w:tcPr>
            <w:tcW w:w="1263" w:type="dxa"/>
            <w:vAlign w:val="bottom"/>
          </w:tcPr>
          <w:p w:rsidR="002A6DC8" w:rsidRDefault="002A6DC8" w:rsidP="002A6DC8">
            <w:pPr>
              <w:autoSpaceDN w:val="0"/>
              <w:jc w:val="right"/>
              <w:rPr>
                <w:rFonts w:cs="Arial"/>
              </w:rPr>
            </w:pPr>
            <w:r>
              <w:rPr>
                <w:rFonts w:cs="Arial"/>
              </w:rPr>
              <w:t>2,590</w:t>
            </w:r>
          </w:p>
        </w:tc>
        <w:tc>
          <w:tcPr>
            <w:tcW w:w="1620" w:type="dxa"/>
            <w:vMerge w:val="restart"/>
            <w:vAlign w:val="center"/>
            <w:hideMark/>
          </w:tcPr>
          <w:p w:rsidR="002A6DC8" w:rsidRDefault="002A6DC8" w:rsidP="002A6DC8">
            <w:pPr>
              <w:autoSpaceDN w:val="0"/>
              <w:jc w:val="center"/>
              <w:rPr>
                <w:rFonts w:cs="Arial"/>
              </w:rPr>
            </w:pPr>
            <w:r>
              <w:rPr>
                <w:rFonts w:cs="Arial"/>
              </w:rPr>
              <w:t>$116</w:t>
            </w:r>
          </w:p>
        </w:tc>
      </w:tr>
      <w:tr w:rsidR="002A6DC8" w:rsidTr="002A6DC8">
        <w:trPr>
          <w:trHeight w:val="255"/>
        </w:trPr>
        <w:tc>
          <w:tcPr>
            <w:tcW w:w="2688" w:type="dxa"/>
            <w:noWrap/>
            <w:vAlign w:val="bottom"/>
            <w:hideMark/>
          </w:tcPr>
          <w:p w:rsidR="002A6DC8" w:rsidRDefault="002A6DC8" w:rsidP="002A6DC8">
            <w:pPr>
              <w:autoSpaceDN w:val="0"/>
              <w:ind w:firstLineChars="100" w:firstLine="195"/>
              <w:rPr>
                <w:rFonts w:cs="Arial"/>
              </w:rPr>
            </w:pPr>
            <w:r>
              <w:rPr>
                <w:rFonts w:cs="Arial"/>
              </w:rPr>
              <w:t>Yield per Colony (Lbs.)</w:t>
            </w:r>
          </w:p>
        </w:tc>
        <w:tc>
          <w:tcPr>
            <w:tcW w:w="1263" w:type="dxa"/>
            <w:noWrap/>
            <w:vAlign w:val="bottom"/>
            <w:hideMark/>
          </w:tcPr>
          <w:p w:rsidR="002A6DC8" w:rsidRDefault="002A6DC8" w:rsidP="002A6DC8">
            <w:pPr>
              <w:autoSpaceDN w:val="0"/>
              <w:jc w:val="right"/>
              <w:rPr>
                <w:rFonts w:cs="Arial"/>
              </w:rPr>
            </w:pPr>
            <w:r>
              <w:rPr>
                <w:rFonts w:cs="Arial"/>
              </w:rPr>
              <w:t>56</w:t>
            </w:r>
          </w:p>
        </w:tc>
        <w:tc>
          <w:tcPr>
            <w:tcW w:w="1263" w:type="dxa"/>
            <w:noWrap/>
            <w:vAlign w:val="bottom"/>
            <w:hideMark/>
          </w:tcPr>
          <w:p w:rsidR="002A6DC8" w:rsidRDefault="002A6DC8" w:rsidP="002A6DC8">
            <w:pPr>
              <w:autoSpaceDN w:val="0"/>
              <w:jc w:val="right"/>
              <w:rPr>
                <w:rFonts w:cs="Arial"/>
              </w:rPr>
            </w:pPr>
            <w:r>
              <w:rPr>
                <w:rFonts w:cs="Arial"/>
              </w:rPr>
              <w:t>56.6</w:t>
            </w:r>
          </w:p>
        </w:tc>
        <w:tc>
          <w:tcPr>
            <w:tcW w:w="1263" w:type="dxa"/>
            <w:vAlign w:val="bottom"/>
          </w:tcPr>
          <w:p w:rsidR="002A6DC8" w:rsidRDefault="002A6DC8" w:rsidP="002A6DC8">
            <w:pPr>
              <w:autoSpaceDN w:val="0"/>
              <w:jc w:val="right"/>
              <w:rPr>
                <w:rFonts w:cs="Arial"/>
              </w:rPr>
            </w:pPr>
            <w:r>
              <w:rPr>
                <w:rFonts w:cs="Arial"/>
              </w:rPr>
              <w:t>56</w:t>
            </w:r>
          </w:p>
        </w:tc>
        <w:tc>
          <w:tcPr>
            <w:tcW w:w="1620" w:type="dxa"/>
            <w:vMerge/>
            <w:vAlign w:val="center"/>
            <w:hideMark/>
          </w:tcPr>
          <w:p w:rsidR="002A6DC8" w:rsidRDefault="002A6DC8" w:rsidP="002A6DC8">
            <w:pPr>
              <w:rPr>
                <w:rFonts w:cs="Arial"/>
              </w:rPr>
            </w:pPr>
          </w:p>
        </w:tc>
      </w:tr>
      <w:tr w:rsidR="002A6DC8" w:rsidTr="002A6DC8">
        <w:trPr>
          <w:trHeight w:val="255"/>
        </w:trPr>
        <w:tc>
          <w:tcPr>
            <w:tcW w:w="2688" w:type="dxa"/>
            <w:noWrap/>
            <w:vAlign w:val="bottom"/>
            <w:hideMark/>
          </w:tcPr>
          <w:p w:rsidR="002A6DC8" w:rsidRDefault="002A6DC8" w:rsidP="002A6DC8">
            <w:pPr>
              <w:autoSpaceDN w:val="0"/>
              <w:ind w:firstLineChars="100" w:firstLine="195"/>
              <w:rPr>
                <w:rFonts w:cs="Arial"/>
              </w:rPr>
            </w:pPr>
            <w:r>
              <w:rPr>
                <w:rFonts w:cs="Arial"/>
              </w:rPr>
              <w:t>Average Price per Lb.</w:t>
            </w:r>
          </w:p>
        </w:tc>
        <w:tc>
          <w:tcPr>
            <w:tcW w:w="1263" w:type="dxa"/>
            <w:noWrap/>
            <w:vAlign w:val="bottom"/>
            <w:hideMark/>
          </w:tcPr>
          <w:p w:rsidR="002A6DC8" w:rsidRDefault="002A6DC8" w:rsidP="002A6DC8">
            <w:pPr>
              <w:autoSpaceDN w:val="0"/>
              <w:jc w:val="right"/>
              <w:rPr>
                <w:rFonts w:cs="Arial"/>
              </w:rPr>
            </w:pPr>
            <w:r>
              <w:rPr>
                <w:rFonts w:cs="Arial"/>
              </w:rPr>
              <w:t>$1.99</w:t>
            </w:r>
          </w:p>
        </w:tc>
        <w:tc>
          <w:tcPr>
            <w:tcW w:w="1263" w:type="dxa"/>
            <w:noWrap/>
            <w:vAlign w:val="bottom"/>
            <w:hideMark/>
          </w:tcPr>
          <w:p w:rsidR="002A6DC8" w:rsidRDefault="002A6DC8" w:rsidP="002A6DC8">
            <w:pPr>
              <w:autoSpaceDN w:val="0"/>
              <w:jc w:val="right"/>
              <w:rPr>
                <w:rFonts w:cs="Arial"/>
              </w:rPr>
            </w:pPr>
            <w:r>
              <w:rPr>
                <w:rFonts w:cs="Arial"/>
              </w:rPr>
              <w:t>$2.12</w:t>
            </w:r>
          </w:p>
        </w:tc>
        <w:tc>
          <w:tcPr>
            <w:tcW w:w="1263" w:type="dxa"/>
            <w:vAlign w:val="bottom"/>
          </w:tcPr>
          <w:p w:rsidR="002A6DC8" w:rsidRDefault="002A6DC8" w:rsidP="002A6DC8">
            <w:pPr>
              <w:autoSpaceDN w:val="0"/>
              <w:jc w:val="right"/>
              <w:rPr>
                <w:rFonts w:cs="Arial"/>
              </w:rPr>
            </w:pPr>
            <w:r>
              <w:rPr>
                <w:rFonts w:cs="Arial"/>
              </w:rPr>
              <w:t>$2.06</w:t>
            </w:r>
          </w:p>
        </w:tc>
        <w:tc>
          <w:tcPr>
            <w:tcW w:w="1620" w:type="dxa"/>
            <w:vMerge/>
            <w:vAlign w:val="center"/>
            <w:hideMark/>
          </w:tcPr>
          <w:p w:rsidR="002A6DC8" w:rsidRDefault="002A6DC8" w:rsidP="002A6DC8">
            <w:pPr>
              <w:rPr>
                <w:rFonts w:cs="Arial"/>
              </w:rPr>
            </w:pPr>
          </w:p>
        </w:tc>
      </w:tr>
      <w:tr w:rsidR="002A6DC8" w:rsidTr="002A6DC8">
        <w:trPr>
          <w:trHeight w:val="255"/>
        </w:trPr>
        <w:tc>
          <w:tcPr>
            <w:tcW w:w="2688" w:type="dxa"/>
            <w:noWrap/>
            <w:vAlign w:val="bottom"/>
            <w:hideMark/>
          </w:tcPr>
          <w:p w:rsidR="002A6DC8" w:rsidRDefault="002A6DC8" w:rsidP="002A6DC8">
            <w:pPr>
              <w:autoSpaceDN w:val="0"/>
              <w:ind w:firstLineChars="100" w:firstLine="195"/>
              <w:rPr>
                <w:rFonts w:cs="Arial"/>
              </w:rPr>
            </w:pPr>
            <w:r>
              <w:rPr>
                <w:rFonts w:cs="Arial"/>
              </w:rPr>
              <w:t>Price per Colony</w:t>
            </w:r>
          </w:p>
        </w:tc>
        <w:tc>
          <w:tcPr>
            <w:tcW w:w="1263" w:type="dxa"/>
            <w:noWrap/>
            <w:vAlign w:val="bottom"/>
            <w:hideMark/>
          </w:tcPr>
          <w:p w:rsidR="002A6DC8" w:rsidRDefault="002A6DC8" w:rsidP="002A6DC8">
            <w:pPr>
              <w:autoSpaceDN w:val="0"/>
              <w:jc w:val="right"/>
              <w:rPr>
                <w:rFonts w:cs="Arial"/>
              </w:rPr>
            </w:pPr>
            <w:r>
              <w:rPr>
                <w:rFonts w:cs="Arial"/>
              </w:rPr>
              <w:t>$111.44</w:t>
            </w:r>
          </w:p>
        </w:tc>
        <w:tc>
          <w:tcPr>
            <w:tcW w:w="1263" w:type="dxa"/>
            <w:noWrap/>
            <w:vAlign w:val="bottom"/>
            <w:hideMark/>
          </w:tcPr>
          <w:p w:rsidR="002A6DC8" w:rsidRDefault="002A6DC8" w:rsidP="002A6DC8">
            <w:pPr>
              <w:autoSpaceDN w:val="0"/>
              <w:jc w:val="right"/>
              <w:rPr>
                <w:rFonts w:cs="Arial"/>
              </w:rPr>
            </w:pPr>
            <w:r>
              <w:rPr>
                <w:rFonts w:cs="Arial"/>
              </w:rPr>
              <w:t>$119.92</w:t>
            </w:r>
          </w:p>
        </w:tc>
        <w:tc>
          <w:tcPr>
            <w:tcW w:w="1263" w:type="dxa"/>
            <w:vAlign w:val="bottom"/>
          </w:tcPr>
          <w:p w:rsidR="002A6DC8" w:rsidRDefault="002A6DC8" w:rsidP="002A6DC8">
            <w:pPr>
              <w:autoSpaceDN w:val="0"/>
              <w:jc w:val="right"/>
              <w:rPr>
                <w:rFonts w:cs="Arial"/>
              </w:rPr>
            </w:pPr>
            <w:r>
              <w:rPr>
                <w:rFonts w:cs="Arial"/>
              </w:rPr>
              <w:t>$115.68</w:t>
            </w:r>
          </w:p>
        </w:tc>
        <w:tc>
          <w:tcPr>
            <w:tcW w:w="1620" w:type="dxa"/>
            <w:vMerge/>
            <w:vAlign w:val="center"/>
            <w:hideMark/>
          </w:tcPr>
          <w:p w:rsidR="002A6DC8" w:rsidRDefault="002A6DC8" w:rsidP="002A6DC8">
            <w:pPr>
              <w:rPr>
                <w:rFonts w:cs="Arial"/>
              </w:rPr>
            </w:pPr>
          </w:p>
        </w:tc>
      </w:tr>
      <w:tr w:rsidR="002A6DC8" w:rsidTr="002A6DC8">
        <w:trPr>
          <w:trHeight w:val="255"/>
        </w:trPr>
        <w:tc>
          <w:tcPr>
            <w:tcW w:w="2688" w:type="dxa"/>
            <w:noWrap/>
            <w:vAlign w:val="bottom"/>
          </w:tcPr>
          <w:p w:rsidR="002A6DC8" w:rsidRDefault="002A6DC8" w:rsidP="002A6DC8">
            <w:pPr>
              <w:autoSpaceDN w:val="0"/>
              <w:rPr>
                <w:rFonts w:cs="Arial"/>
              </w:rPr>
            </w:pPr>
          </w:p>
        </w:tc>
        <w:tc>
          <w:tcPr>
            <w:tcW w:w="1263" w:type="dxa"/>
            <w:noWrap/>
            <w:vAlign w:val="bottom"/>
          </w:tcPr>
          <w:p w:rsidR="002A6DC8" w:rsidRDefault="002A6DC8" w:rsidP="002A6DC8">
            <w:pPr>
              <w:autoSpaceDN w:val="0"/>
              <w:rPr>
                <w:rFonts w:cs="Arial"/>
              </w:rPr>
            </w:pPr>
          </w:p>
        </w:tc>
        <w:tc>
          <w:tcPr>
            <w:tcW w:w="1263" w:type="dxa"/>
            <w:noWrap/>
            <w:vAlign w:val="bottom"/>
          </w:tcPr>
          <w:p w:rsidR="002A6DC8" w:rsidRDefault="002A6DC8" w:rsidP="002A6DC8">
            <w:pPr>
              <w:autoSpaceDN w:val="0"/>
              <w:rPr>
                <w:rFonts w:cs="Arial"/>
              </w:rPr>
            </w:pPr>
          </w:p>
        </w:tc>
        <w:tc>
          <w:tcPr>
            <w:tcW w:w="1263" w:type="dxa"/>
            <w:vAlign w:val="bottom"/>
          </w:tcPr>
          <w:p w:rsidR="002A6DC8" w:rsidRDefault="002A6DC8" w:rsidP="002A6DC8">
            <w:pPr>
              <w:autoSpaceDN w:val="0"/>
              <w:rPr>
                <w:rFonts w:cs="Arial"/>
              </w:rPr>
            </w:pPr>
          </w:p>
        </w:tc>
        <w:tc>
          <w:tcPr>
            <w:tcW w:w="1620" w:type="dxa"/>
          </w:tcPr>
          <w:p w:rsidR="002A6DC8" w:rsidRDefault="002A6DC8" w:rsidP="002A6DC8">
            <w:pPr>
              <w:autoSpaceDN w:val="0"/>
              <w:rPr>
                <w:rFonts w:cs="Arial"/>
              </w:rPr>
            </w:pPr>
          </w:p>
        </w:tc>
      </w:tr>
      <w:tr w:rsidR="002A6DC8" w:rsidTr="002A6DC8">
        <w:trPr>
          <w:trHeight w:val="255"/>
        </w:trPr>
        <w:tc>
          <w:tcPr>
            <w:tcW w:w="2688" w:type="dxa"/>
            <w:noWrap/>
            <w:vAlign w:val="bottom"/>
            <w:hideMark/>
          </w:tcPr>
          <w:p w:rsidR="002A6DC8" w:rsidRPr="00E23549" w:rsidRDefault="002A6DC8" w:rsidP="002A6DC8">
            <w:pPr>
              <w:autoSpaceDN w:val="0"/>
              <w:rPr>
                <w:rFonts w:cs="Arial"/>
                <w:b/>
              </w:rPr>
            </w:pPr>
            <w:r w:rsidRPr="00E23549">
              <w:rPr>
                <w:rFonts w:cs="Arial"/>
                <w:b/>
              </w:rPr>
              <w:t>Montana(1,000’s)</w:t>
            </w:r>
          </w:p>
        </w:tc>
        <w:tc>
          <w:tcPr>
            <w:tcW w:w="1263" w:type="dxa"/>
            <w:noWrap/>
            <w:vAlign w:val="bottom"/>
            <w:hideMark/>
          </w:tcPr>
          <w:p w:rsidR="002A6DC8" w:rsidRDefault="002A6DC8" w:rsidP="002A6DC8">
            <w:pPr>
              <w:autoSpaceDN w:val="0"/>
              <w:jc w:val="right"/>
              <w:rPr>
                <w:rFonts w:cs="Arial"/>
              </w:rPr>
            </w:pPr>
            <w:r>
              <w:rPr>
                <w:rFonts w:cs="Arial"/>
              </w:rPr>
              <w:t>145</w:t>
            </w:r>
          </w:p>
        </w:tc>
        <w:tc>
          <w:tcPr>
            <w:tcW w:w="1263" w:type="dxa"/>
            <w:noWrap/>
            <w:vAlign w:val="bottom"/>
            <w:hideMark/>
          </w:tcPr>
          <w:p w:rsidR="002A6DC8" w:rsidRDefault="002A6DC8" w:rsidP="002A6DC8">
            <w:pPr>
              <w:autoSpaceDN w:val="0"/>
              <w:jc w:val="right"/>
              <w:rPr>
                <w:rFonts w:cs="Arial"/>
              </w:rPr>
            </w:pPr>
            <w:r>
              <w:rPr>
                <w:rFonts w:cs="Arial"/>
              </w:rPr>
              <w:t>159</w:t>
            </w:r>
          </w:p>
        </w:tc>
        <w:tc>
          <w:tcPr>
            <w:tcW w:w="1263" w:type="dxa"/>
            <w:vAlign w:val="bottom"/>
          </w:tcPr>
          <w:p w:rsidR="002A6DC8" w:rsidRDefault="002A6DC8" w:rsidP="002A6DC8">
            <w:pPr>
              <w:autoSpaceDN w:val="0"/>
              <w:jc w:val="right"/>
              <w:rPr>
                <w:rFonts w:cs="Arial"/>
              </w:rPr>
            </w:pPr>
            <w:r>
              <w:rPr>
                <w:rFonts w:cs="Arial"/>
              </w:rPr>
              <w:t>152</w:t>
            </w:r>
          </w:p>
        </w:tc>
        <w:tc>
          <w:tcPr>
            <w:tcW w:w="1620" w:type="dxa"/>
            <w:vMerge w:val="restart"/>
            <w:vAlign w:val="center"/>
            <w:hideMark/>
          </w:tcPr>
          <w:p w:rsidR="002A6DC8" w:rsidRDefault="002A6DC8" w:rsidP="002A6DC8">
            <w:pPr>
              <w:autoSpaceDN w:val="0"/>
              <w:jc w:val="center"/>
              <w:rPr>
                <w:rFonts w:cs="Arial"/>
              </w:rPr>
            </w:pPr>
            <w:r>
              <w:rPr>
                <w:rFonts w:cs="Arial"/>
              </w:rPr>
              <w:t>$148</w:t>
            </w:r>
          </w:p>
        </w:tc>
      </w:tr>
      <w:tr w:rsidR="002A6DC8" w:rsidTr="002A6DC8">
        <w:trPr>
          <w:trHeight w:val="255"/>
        </w:trPr>
        <w:tc>
          <w:tcPr>
            <w:tcW w:w="2688" w:type="dxa"/>
            <w:noWrap/>
            <w:vAlign w:val="bottom"/>
            <w:hideMark/>
          </w:tcPr>
          <w:p w:rsidR="002A6DC8" w:rsidRDefault="002A6DC8" w:rsidP="002A6DC8">
            <w:pPr>
              <w:autoSpaceDN w:val="0"/>
              <w:ind w:firstLineChars="100" w:firstLine="195"/>
              <w:rPr>
                <w:rFonts w:cs="Arial"/>
              </w:rPr>
            </w:pPr>
            <w:r>
              <w:rPr>
                <w:rFonts w:cs="Arial"/>
              </w:rPr>
              <w:t>Yield per Colony (Lbs.)</w:t>
            </w:r>
          </w:p>
        </w:tc>
        <w:tc>
          <w:tcPr>
            <w:tcW w:w="1263" w:type="dxa"/>
            <w:noWrap/>
            <w:vAlign w:val="bottom"/>
            <w:hideMark/>
          </w:tcPr>
          <w:p w:rsidR="002A6DC8" w:rsidRDefault="002A6DC8" w:rsidP="002A6DC8">
            <w:pPr>
              <w:autoSpaceDN w:val="0"/>
              <w:jc w:val="right"/>
              <w:rPr>
                <w:rFonts w:cs="Arial"/>
              </w:rPr>
            </w:pPr>
            <w:r>
              <w:rPr>
                <w:rFonts w:cs="Arial"/>
              </w:rPr>
              <w:t>52</w:t>
            </w:r>
          </w:p>
        </w:tc>
        <w:tc>
          <w:tcPr>
            <w:tcW w:w="1263" w:type="dxa"/>
            <w:noWrap/>
            <w:vAlign w:val="bottom"/>
            <w:hideMark/>
          </w:tcPr>
          <w:p w:rsidR="002A6DC8" w:rsidRDefault="002A6DC8" w:rsidP="002A6DC8">
            <w:pPr>
              <w:autoSpaceDN w:val="0"/>
              <w:jc w:val="right"/>
              <w:rPr>
                <w:rFonts w:cs="Arial"/>
              </w:rPr>
            </w:pPr>
            <w:r>
              <w:rPr>
                <w:rFonts w:cs="Arial"/>
              </w:rPr>
              <w:t>94</w:t>
            </w:r>
          </w:p>
        </w:tc>
        <w:tc>
          <w:tcPr>
            <w:tcW w:w="1263" w:type="dxa"/>
            <w:vAlign w:val="bottom"/>
          </w:tcPr>
          <w:p w:rsidR="002A6DC8" w:rsidRDefault="002A6DC8" w:rsidP="002A6DC8">
            <w:pPr>
              <w:autoSpaceDN w:val="0"/>
              <w:jc w:val="right"/>
              <w:rPr>
                <w:rFonts w:cs="Arial"/>
              </w:rPr>
            </w:pPr>
            <w:r>
              <w:rPr>
                <w:rFonts w:cs="Arial"/>
              </w:rPr>
              <w:t>73</w:t>
            </w:r>
          </w:p>
        </w:tc>
        <w:tc>
          <w:tcPr>
            <w:tcW w:w="1620" w:type="dxa"/>
            <w:vMerge/>
            <w:vAlign w:val="center"/>
            <w:hideMark/>
          </w:tcPr>
          <w:p w:rsidR="002A6DC8" w:rsidRDefault="002A6DC8" w:rsidP="002A6DC8">
            <w:pPr>
              <w:rPr>
                <w:rFonts w:cs="Arial"/>
              </w:rPr>
            </w:pPr>
          </w:p>
        </w:tc>
      </w:tr>
      <w:tr w:rsidR="002A6DC8" w:rsidTr="002A6DC8">
        <w:trPr>
          <w:trHeight w:val="255"/>
        </w:trPr>
        <w:tc>
          <w:tcPr>
            <w:tcW w:w="2688" w:type="dxa"/>
            <w:noWrap/>
            <w:vAlign w:val="bottom"/>
            <w:hideMark/>
          </w:tcPr>
          <w:p w:rsidR="002A6DC8" w:rsidRDefault="002A6DC8" w:rsidP="002A6DC8">
            <w:pPr>
              <w:autoSpaceDN w:val="0"/>
              <w:ind w:firstLineChars="100" w:firstLine="195"/>
              <w:rPr>
                <w:rFonts w:cs="Arial"/>
              </w:rPr>
            </w:pPr>
            <w:r>
              <w:rPr>
                <w:rFonts w:cs="Arial"/>
              </w:rPr>
              <w:t>Average Price per Lb.</w:t>
            </w:r>
          </w:p>
        </w:tc>
        <w:tc>
          <w:tcPr>
            <w:tcW w:w="1263" w:type="dxa"/>
            <w:noWrap/>
            <w:vAlign w:val="bottom"/>
            <w:hideMark/>
          </w:tcPr>
          <w:p w:rsidR="002A6DC8" w:rsidRDefault="002A6DC8" w:rsidP="002A6DC8">
            <w:pPr>
              <w:autoSpaceDN w:val="0"/>
              <w:jc w:val="right"/>
              <w:rPr>
                <w:rFonts w:cs="Arial"/>
              </w:rPr>
            </w:pPr>
            <w:r>
              <w:rPr>
                <w:rFonts w:cs="Arial"/>
              </w:rPr>
              <w:t>$1.95</w:t>
            </w:r>
          </w:p>
        </w:tc>
        <w:tc>
          <w:tcPr>
            <w:tcW w:w="1263" w:type="dxa"/>
            <w:noWrap/>
            <w:vAlign w:val="bottom"/>
            <w:hideMark/>
          </w:tcPr>
          <w:p w:rsidR="002A6DC8" w:rsidRDefault="002A6DC8" w:rsidP="002A6DC8">
            <w:pPr>
              <w:autoSpaceDN w:val="0"/>
              <w:jc w:val="right"/>
              <w:rPr>
                <w:rFonts w:cs="Arial"/>
              </w:rPr>
            </w:pPr>
            <w:r>
              <w:rPr>
                <w:rFonts w:cs="Arial"/>
              </w:rPr>
              <w:t>$2.08</w:t>
            </w:r>
          </w:p>
        </w:tc>
        <w:tc>
          <w:tcPr>
            <w:tcW w:w="1263" w:type="dxa"/>
            <w:vAlign w:val="bottom"/>
          </w:tcPr>
          <w:p w:rsidR="002A6DC8" w:rsidRDefault="002A6DC8" w:rsidP="002A6DC8">
            <w:pPr>
              <w:autoSpaceDN w:val="0"/>
              <w:jc w:val="right"/>
              <w:rPr>
                <w:rFonts w:cs="Arial"/>
              </w:rPr>
            </w:pPr>
            <w:r>
              <w:rPr>
                <w:rFonts w:cs="Arial"/>
              </w:rPr>
              <w:t>$2.06</w:t>
            </w:r>
          </w:p>
        </w:tc>
        <w:tc>
          <w:tcPr>
            <w:tcW w:w="1620" w:type="dxa"/>
            <w:vMerge/>
            <w:vAlign w:val="center"/>
            <w:hideMark/>
          </w:tcPr>
          <w:p w:rsidR="002A6DC8" w:rsidRDefault="002A6DC8" w:rsidP="002A6DC8">
            <w:pPr>
              <w:rPr>
                <w:rFonts w:cs="Arial"/>
              </w:rPr>
            </w:pPr>
          </w:p>
        </w:tc>
      </w:tr>
      <w:tr w:rsidR="002A6DC8" w:rsidTr="002A6DC8">
        <w:trPr>
          <w:trHeight w:val="255"/>
        </w:trPr>
        <w:tc>
          <w:tcPr>
            <w:tcW w:w="2688" w:type="dxa"/>
            <w:noWrap/>
            <w:vAlign w:val="bottom"/>
            <w:hideMark/>
          </w:tcPr>
          <w:p w:rsidR="002A6DC8" w:rsidRDefault="002A6DC8" w:rsidP="002A6DC8">
            <w:pPr>
              <w:autoSpaceDN w:val="0"/>
              <w:ind w:firstLineChars="100" w:firstLine="195"/>
              <w:rPr>
                <w:rFonts w:cs="Arial"/>
              </w:rPr>
            </w:pPr>
            <w:r>
              <w:rPr>
                <w:rFonts w:cs="Arial"/>
              </w:rPr>
              <w:t>Price per Colony</w:t>
            </w:r>
          </w:p>
        </w:tc>
        <w:tc>
          <w:tcPr>
            <w:tcW w:w="1263" w:type="dxa"/>
            <w:noWrap/>
            <w:vAlign w:val="bottom"/>
            <w:hideMark/>
          </w:tcPr>
          <w:p w:rsidR="002A6DC8" w:rsidRDefault="002A6DC8" w:rsidP="002A6DC8">
            <w:pPr>
              <w:autoSpaceDN w:val="0"/>
              <w:jc w:val="right"/>
              <w:rPr>
                <w:rFonts w:cs="Arial"/>
              </w:rPr>
            </w:pPr>
            <w:r>
              <w:rPr>
                <w:rFonts w:cs="Arial"/>
              </w:rPr>
              <w:t>$101.40</w:t>
            </w:r>
          </w:p>
        </w:tc>
        <w:tc>
          <w:tcPr>
            <w:tcW w:w="1263" w:type="dxa"/>
            <w:noWrap/>
            <w:vAlign w:val="bottom"/>
            <w:hideMark/>
          </w:tcPr>
          <w:p w:rsidR="002A6DC8" w:rsidRDefault="002A6DC8" w:rsidP="002A6DC8">
            <w:pPr>
              <w:autoSpaceDN w:val="0"/>
              <w:jc w:val="right"/>
              <w:rPr>
                <w:rFonts w:cs="Arial"/>
              </w:rPr>
            </w:pPr>
            <w:r>
              <w:rPr>
                <w:rFonts w:cs="Arial"/>
              </w:rPr>
              <w:t>$195.52</w:t>
            </w:r>
          </w:p>
        </w:tc>
        <w:tc>
          <w:tcPr>
            <w:tcW w:w="1263" w:type="dxa"/>
            <w:vAlign w:val="bottom"/>
          </w:tcPr>
          <w:p w:rsidR="002A6DC8" w:rsidRDefault="002A6DC8" w:rsidP="002A6DC8">
            <w:pPr>
              <w:autoSpaceDN w:val="0"/>
              <w:jc w:val="right"/>
              <w:rPr>
                <w:rFonts w:cs="Arial"/>
              </w:rPr>
            </w:pPr>
            <w:r>
              <w:rPr>
                <w:rFonts w:cs="Arial"/>
              </w:rPr>
              <w:t>$148.46</w:t>
            </w:r>
          </w:p>
        </w:tc>
        <w:tc>
          <w:tcPr>
            <w:tcW w:w="1620" w:type="dxa"/>
            <w:vMerge/>
            <w:vAlign w:val="center"/>
            <w:hideMark/>
          </w:tcPr>
          <w:p w:rsidR="002A6DC8" w:rsidRDefault="002A6DC8" w:rsidP="002A6DC8">
            <w:pPr>
              <w:rPr>
                <w:rFonts w:cs="Arial"/>
              </w:rPr>
            </w:pPr>
          </w:p>
        </w:tc>
      </w:tr>
      <w:tr w:rsidR="002A6DC8" w:rsidTr="002A6DC8">
        <w:trPr>
          <w:trHeight w:val="255"/>
        </w:trPr>
        <w:tc>
          <w:tcPr>
            <w:tcW w:w="2688" w:type="dxa"/>
            <w:noWrap/>
            <w:vAlign w:val="bottom"/>
          </w:tcPr>
          <w:p w:rsidR="002A6DC8" w:rsidRDefault="002A6DC8" w:rsidP="002A6DC8">
            <w:pPr>
              <w:autoSpaceDN w:val="0"/>
              <w:rPr>
                <w:rFonts w:cs="Arial"/>
              </w:rPr>
            </w:pPr>
          </w:p>
        </w:tc>
        <w:tc>
          <w:tcPr>
            <w:tcW w:w="1263" w:type="dxa"/>
            <w:noWrap/>
            <w:vAlign w:val="bottom"/>
          </w:tcPr>
          <w:p w:rsidR="002A6DC8" w:rsidRDefault="002A6DC8" w:rsidP="002A6DC8">
            <w:pPr>
              <w:autoSpaceDN w:val="0"/>
              <w:rPr>
                <w:rFonts w:cs="Arial"/>
              </w:rPr>
            </w:pPr>
          </w:p>
        </w:tc>
        <w:tc>
          <w:tcPr>
            <w:tcW w:w="1263" w:type="dxa"/>
            <w:noWrap/>
            <w:vAlign w:val="bottom"/>
          </w:tcPr>
          <w:p w:rsidR="002A6DC8" w:rsidRDefault="002A6DC8" w:rsidP="002A6DC8">
            <w:pPr>
              <w:autoSpaceDN w:val="0"/>
              <w:rPr>
                <w:rFonts w:cs="Arial"/>
              </w:rPr>
            </w:pPr>
          </w:p>
        </w:tc>
        <w:tc>
          <w:tcPr>
            <w:tcW w:w="1263" w:type="dxa"/>
            <w:vAlign w:val="bottom"/>
          </w:tcPr>
          <w:p w:rsidR="002A6DC8" w:rsidRDefault="002A6DC8" w:rsidP="002A6DC8">
            <w:pPr>
              <w:autoSpaceDN w:val="0"/>
              <w:rPr>
                <w:rFonts w:cs="Arial"/>
              </w:rPr>
            </w:pPr>
          </w:p>
        </w:tc>
        <w:tc>
          <w:tcPr>
            <w:tcW w:w="1620" w:type="dxa"/>
          </w:tcPr>
          <w:p w:rsidR="002A6DC8" w:rsidRDefault="002A6DC8" w:rsidP="002A6DC8">
            <w:pPr>
              <w:autoSpaceDN w:val="0"/>
              <w:rPr>
                <w:rFonts w:cs="Arial"/>
              </w:rPr>
            </w:pPr>
          </w:p>
        </w:tc>
      </w:tr>
      <w:tr w:rsidR="002A6DC8" w:rsidTr="002A6DC8">
        <w:trPr>
          <w:trHeight w:val="255"/>
        </w:trPr>
        <w:tc>
          <w:tcPr>
            <w:tcW w:w="2688" w:type="dxa"/>
            <w:noWrap/>
            <w:vAlign w:val="bottom"/>
            <w:hideMark/>
          </w:tcPr>
          <w:p w:rsidR="002A6DC8" w:rsidRPr="00E23549" w:rsidRDefault="002A6DC8" w:rsidP="002A6DC8">
            <w:pPr>
              <w:autoSpaceDN w:val="0"/>
              <w:rPr>
                <w:rFonts w:cs="Arial"/>
                <w:b/>
              </w:rPr>
            </w:pPr>
            <w:r w:rsidRPr="00E23549">
              <w:rPr>
                <w:rFonts w:cs="Arial"/>
                <w:b/>
              </w:rPr>
              <w:t>North Dakota (1,000’s)</w:t>
            </w:r>
          </w:p>
        </w:tc>
        <w:tc>
          <w:tcPr>
            <w:tcW w:w="1263" w:type="dxa"/>
            <w:noWrap/>
            <w:vAlign w:val="bottom"/>
            <w:hideMark/>
          </w:tcPr>
          <w:p w:rsidR="002A6DC8" w:rsidRDefault="002A6DC8" w:rsidP="002A6DC8">
            <w:pPr>
              <w:autoSpaceDN w:val="0"/>
              <w:jc w:val="right"/>
              <w:rPr>
                <w:rFonts w:cs="Arial"/>
              </w:rPr>
            </w:pPr>
            <w:r>
              <w:rPr>
                <w:rFonts w:cs="Arial"/>
              </w:rPr>
              <w:t>480</w:t>
            </w:r>
          </w:p>
        </w:tc>
        <w:tc>
          <w:tcPr>
            <w:tcW w:w="1263" w:type="dxa"/>
            <w:noWrap/>
            <w:vAlign w:val="bottom"/>
            <w:hideMark/>
          </w:tcPr>
          <w:p w:rsidR="002A6DC8" w:rsidRDefault="002A6DC8" w:rsidP="002A6DC8">
            <w:pPr>
              <w:autoSpaceDN w:val="0"/>
              <w:jc w:val="right"/>
              <w:rPr>
                <w:rFonts w:cs="Arial"/>
              </w:rPr>
            </w:pPr>
            <w:r>
              <w:rPr>
                <w:rFonts w:cs="Arial"/>
              </w:rPr>
              <w:t>480</w:t>
            </w:r>
          </w:p>
        </w:tc>
        <w:tc>
          <w:tcPr>
            <w:tcW w:w="1263" w:type="dxa"/>
            <w:vAlign w:val="bottom"/>
          </w:tcPr>
          <w:p w:rsidR="002A6DC8" w:rsidRDefault="002A6DC8" w:rsidP="002A6DC8">
            <w:pPr>
              <w:autoSpaceDN w:val="0"/>
              <w:jc w:val="right"/>
              <w:rPr>
                <w:rFonts w:cs="Arial"/>
              </w:rPr>
            </w:pPr>
            <w:r>
              <w:rPr>
                <w:rFonts w:cs="Arial"/>
              </w:rPr>
              <w:t>480</w:t>
            </w:r>
          </w:p>
        </w:tc>
        <w:tc>
          <w:tcPr>
            <w:tcW w:w="1620" w:type="dxa"/>
            <w:vMerge w:val="restart"/>
            <w:vAlign w:val="center"/>
            <w:hideMark/>
          </w:tcPr>
          <w:p w:rsidR="002A6DC8" w:rsidRDefault="002A6DC8" w:rsidP="002A6DC8">
            <w:pPr>
              <w:autoSpaceDN w:val="0"/>
              <w:jc w:val="center"/>
              <w:rPr>
                <w:rFonts w:cs="Arial"/>
              </w:rPr>
            </w:pPr>
            <w:r>
              <w:rPr>
                <w:rFonts w:cs="Arial"/>
              </w:rPr>
              <w:t>$137</w:t>
            </w:r>
          </w:p>
        </w:tc>
      </w:tr>
      <w:tr w:rsidR="002A6DC8" w:rsidTr="002A6DC8">
        <w:trPr>
          <w:trHeight w:val="255"/>
        </w:trPr>
        <w:tc>
          <w:tcPr>
            <w:tcW w:w="2688" w:type="dxa"/>
            <w:noWrap/>
            <w:vAlign w:val="bottom"/>
            <w:hideMark/>
          </w:tcPr>
          <w:p w:rsidR="002A6DC8" w:rsidRDefault="002A6DC8" w:rsidP="002A6DC8">
            <w:pPr>
              <w:autoSpaceDN w:val="0"/>
              <w:ind w:firstLineChars="100" w:firstLine="195"/>
              <w:rPr>
                <w:rFonts w:cs="Arial"/>
              </w:rPr>
            </w:pPr>
            <w:r>
              <w:rPr>
                <w:rFonts w:cs="Arial"/>
              </w:rPr>
              <w:t>Yield per Colony (Lbs.)</w:t>
            </w:r>
          </w:p>
        </w:tc>
        <w:tc>
          <w:tcPr>
            <w:tcW w:w="1263" w:type="dxa"/>
            <w:noWrap/>
            <w:vAlign w:val="bottom"/>
            <w:hideMark/>
          </w:tcPr>
          <w:p w:rsidR="002A6DC8" w:rsidRDefault="002A6DC8" w:rsidP="002A6DC8">
            <w:pPr>
              <w:autoSpaceDN w:val="0"/>
              <w:jc w:val="right"/>
              <w:rPr>
                <w:rFonts w:cs="Arial"/>
              </w:rPr>
            </w:pPr>
            <w:r>
              <w:rPr>
                <w:rFonts w:cs="Arial"/>
              </w:rPr>
              <w:t>69</w:t>
            </w:r>
          </w:p>
        </w:tc>
        <w:tc>
          <w:tcPr>
            <w:tcW w:w="1263" w:type="dxa"/>
            <w:noWrap/>
            <w:vAlign w:val="bottom"/>
            <w:hideMark/>
          </w:tcPr>
          <w:p w:rsidR="002A6DC8" w:rsidRDefault="002A6DC8" w:rsidP="002A6DC8">
            <w:pPr>
              <w:autoSpaceDN w:val="0"/>
              <w:jc w:val="right"/>
              <w:rPr>
                <w:rFonts w:cs="Arial"/>
              </w:rPr>
            </w:pPr>
            <w:r>
              <w:rPr>
                <w:rFonts w:cs="Arial"/>
              </w:rPr>
              <w:t>69</w:t>
            </w:r>
          </w:p>
        </w:tc>
        <w:tc>
          <w:tcPr>
            <w:tcW w:w="1263" w:type="dxa"/>
            <w:vAlign w:val="bottom"/>
          </w:tcPr>
          <w:p w:rsidR="002A6DC8" w:rsidRDefault="002A6DC8" w:rsidP="002A6DC8">
            <w:pPr>
              <w:autoSpaceDN w:val="0"/>
              <w:jc w:val="right"/>
              <w:rPr>
                <w:rFonts w:cs="Arial"/>
              </w:rPr>
            </w:pPr>
            <w:r>
              <w:rPr>
                <w:rFonts w:cs="Arial"/>
              </w:rPr>
              <w:t>69</w:t>
            </w:r>
          </w:p>
        </w:tc>
        <w:tc>
          <w:tcPr>
            <w:tcW w:w="1620" w:type="dxa"/>
            <w:vMerge/>
            <w:vAlign w:val="center"/>
            <w:hideMark/>
          </w:tcPr>
          <w:p w:rsidR="002A6DC8" w:rsidRDefault="002A6DC8" w:rsidP="002A6DC8">
            <w:pPr>
              <w:rPr>
                <w:rFonts w:cs="Arial"/>
              </w:rPr>
            </w:pPr>
          </w:p>
        </w:tc>
      </w:tr>
      <w:tr w:rsidR="002A6DC8" w:rsidTr="002A6DC8">
        <w:trPr>
          <w:trHeight w:val="255"/>
        </w:trPr>
        <w:tc>
          <w:tcPr>
            <w:tcW w:w="2688" w:type="dxa"/>
            <w:noWrap/>
            <w:vAlign w:val="bottom"/>
            <w:hideMark/>
          </w:tcPr>
          <w:p w:rsidR="002A6DC8" w:rsidRDefault="002A6DC8" w:rsidP="002A6DC8">
            <w:pPr>
              <w:autoSpaceDN w:val="0"/>
              <w:ind w:firstLineChars="100" w:firstLine="195"/>
              <w:rPr>
                <w:rFonts w:cs="Arial"/>
              </w:rPr>
            </w:pPr>
            <w:r>
              <w:rPr>
                <w:rFonts w:cs="Arial"/>
              </w:rPr>
              <w:t>Average Price per Lb.</w:t>
            </w:r>
          </w:p>
        </w:tc>
        <w:tc>
          <w:tcPr>
            <w:tcW w:w="1263" w:type="dxa"/>
            <w:noWrap/>
            <w:vAlign w:val="bottom"/>
            <w:hideMark/>
          </w:tcPr>
          <w:p w:rsidR="002A6DC8" w:rsidRDefault="002A6DC8" w:rsidP="002A6DC8">
            <w:pPr>
              <w:autoSpaceDN w:val="0"/>
              <w:jc w:val="right"/>
              <w:rPr>
                <w:rFonts w:cs="Arial"/>
              </w:rPr>
            </w:pPr>
            <w:r>
              <w:rPr>
                <w:rFonts w:cs="Arial"/>
              </w:rPr>
              <w:t>$1.92</w:t>
            </w:r>
          </w:p>
        </w:tc>
        <w:tc>
          <w:tcPr>
            <w:tcW w:w="1263" w:type="dxa"/>
            <w:noWrap/>
            <w:vAlign w:val="bottom"/>
            <w:hideMark/>
          </w:tcPr>
          <w:p w:rsidR="002A6DC8" w:rsidRDefault="002A6DC8" w:rsidP="002A6DC8">
            <w:pPr>
              <w:autoSpaceDN w:val="0"/>
              <w:jc w:val="right"/>
              <w:rPr>
                <w:rFonts w:cs="Arial"/>
              </w:rPr>
            </w:pPr>
            <w:r>
              <w:rPr>
                <w:rFonts w:cs="Arial"/>
              </w:rPr>
              <w:t>$2.04</w:t>
            </w:r>
          </w:p>
        </w:tc>
        <w:tc>
          <w:tcPr>
            <w:tcW w:w="1263" w:type="dxa"/>
            <w:vAlign w:val="bottom"/>
          </w:tcPr>
          <w:p w:rsidR="002A6DC8" w:rsidRDefault="002A6DC8" w:rsidP="002A6DC8">
            <w:pPr>
              <w:autoSpaceDN w:val="0"/>
              <w:jc w:val="right"/>
              <w:rPr>
                <w:rFonts w:cs="Arial"/>
              </w:rPr>
            </w:pPr>
            <w:r>
              <w:rPr>
                <w:rFonts w:cs="Arial"/>
              </w:rPr>
              <w:t>$1.98</w:t>
            </w:r>
          </w:p>
        </w:tc>
        <w:tc>
          <w:tcPr>
            <w:tcW w:w="1620" w:type="dxa"/>
            <w:vMerge/>
            <w:vAlign w:val="center"/>
            <w:hideMark/>
          </w:tcPr>
          <w:p w:rsidR="002A6DC8" w:rsidRDefault="002A6DC8" w:rsidP="002A6DC8">
            <w:pPr>
              <w:rPr>
                <w:rFonts w:cs="Arial"/>
              </w:rPr>
            </w:pPr>
          </w:p>
        </w:tc>
      </w:tr>
      <w:tr w:rsidR="002A6DC8" w:rsidTr="002A6DC8">
        <w:trPr>
          <w:trHeight w:val="255"/>
        </w:trPr>
        <w:tc>
          <w:tcPr>
            <w:tcW w:w="2688" w:type="dxa"/>
            <w:noWrap/>
            <w:vAlign w:val="bottom"/>
            <w:hideMark/>
          </w:tcPr>
          <w:p w:rsidR="002A6DC8" w:rsidRDefault="002A6DC8" w:rsidP="002A6DC8">
            <w:pPr>
              <w:autoSpaceDN w:val="0"/>
              <w:ind w:firstLineChars="100" w:firstLine="195"/>
              <w:rPr>
                <w:rFonts w:cs="Arial"/>
              </w:rPr>
            </w:pPr>
            <w:r>
              <w:rPr>
                <w:rFonts w:cs="Arial"/>
              </w:rPr>
              <w:t>Price per Colony</w:t>
            </w:r>
          </w:p>
        </w:tc>
        <w:tc>
          <w:tcPr>
            <w:tcW w:w="1263" w:type="dxa"/>
            <w:noWrap/>
            <w:vAlign w:val="bottom"/>
            <w:hideMark/>
          </w:tcPr>
          <w:p w:rsidR="002A6DC8" w:rsidRDefault="002A6DC8" w:rsidP="002A6DC8">
            <w:pPr>
              <w:autoSpaceDN w:val="0"/>
              <w:jc w:val="right"/>
              <w:rPr>
                <w:rFonts w:cs="Arial"/>
              </w:rPr>
            </w:pPr>
            <w:r>
              <w:rPr>
                <w:rFonts w:cs="Arial"/>
              </w:rPr>
              <w:t>$132.48</w:t>
            </w:r>
          </w:p>
        </w:tc>
        <w:tc>
          <w:tcPr>
            <w:tcW w:w="1263" w:type="dxa"/>
            <w:noWrap/>
            <w:vAlign w:val="bottom"/>
            <w:hideMark/>
          </w:tcPr>
          <w:p w:rsidR="002A6DC8" w:rsidRDefault="002A6DC8" w:rsidP="002A6DC8">
            <w:pPr>
              <w:autoSpaceDN w:val="0"/>
              <w:jc w:val="right"/>
              <w:rPr>
                <w:rFonts w:cs="Arial"/>
              </w:rPr>
            </w:pPr>
            <w:r>
              <w:rPr>
                <w:rFonts w:cs="Arial"/>
              </w:rPr>
              <w:t>$140.76</w:t>
            </w:r>
          </w:p>
        </w:tc>
        <w:tc>
          <w:tcPr>
            <w:tcW w:w="1263" w:type="dxa"/>
            <w:vAlign w:val="bottom"/>
          </w:tcPr>
          <w:p w:rsidR="002A6DC8" w:rsidRDefault="002A6DC8" w:rsidP="002A6DC8">
            <w:pPr>
              <w:autoSpaceDN w:val="0"/>
              <w:jc w:val="right"/>
              <w:rPr>
                <w:rFonts w:cs="Arial"/>
              </w:rPr>
            </w:pPr>
            <w:r>
              <w:rPr>
                <w:rFonts w:cs="Arial"/>
              </w:rPr>
              <w:t>$136.62</w:t>
            </w:r>
          </w:p>
        </w:tc>
        <w:tc>
          <w:tcPr>
            <w:tcW w:w="1620" w:type="dxa"/>
            <w:vMerge/>
            <w:vAlign w:val="center"/>
            <w:hideMark/>
          </w:tcPr>
          <w:p w:rsidR="002A6DC8" w:rsidRDefault="002A6DC8" w:rsidP="002A6DC8">
            <w:pPr>
              <w:rPr>
                <w:rFonts w:cs="Arial"/>
              </w:rPr>
            </w:pPr>
          </w:p>
        </w:tc>
      </w:tr>
      <w:tr w:rsidR="002A6DC8" w:rsidTr="002A6DC8">
        <w:trPr>
          <w:trHeight w:val="255"/>
        </w:trPr>
        <w:tc>
          <w:tcPr>
            <w:tcW w:w="2688" w:type="dxa"/>
            <w:noWrap/>
            <w:vAlign w:val="bottom"/>
          </w:tcPr>
          <w:p w:rsidR="002A6DC8" w:rsidRDefault="002A6DC8" w:rsidP="002A6DC8">
            <w:pPr>
              <w:autoSpaceDN w:val="0"/>
              <w:rPr>
                <w:rFonts w:cs="Arial"/>
              </w:rPr>
            </w:pPr>
          </w:p>
        </w:tc>
        <w:tc>
          <w:tcPr>
            <w:tcW w:w="1263" w:type="dxa"/>
            <w:noWrap/>
            <w:vAlign w:val="bottom"/>
          </w:tcPr>
          <w:p w:rsidR="002A6DC8" w:rsidRDefault="002A6DC8" w:rsidP="002A6DC8">
            <w:pPr>
              <w:autoSpaceDN w:val="0"/>
              <w:rPr>
                <w:rFonts w:cs="Arial"/>
              </w:rPr>
            </w:pPr>
          </w:p>
        </w:tc>
        <w:tc>
          <w:tcPr>
            <w:tcW w:w="1263" w:type="dxa"/>
            <w:noWrap/>
            <w:vAlign w:val="bottom"/>
          </w:tcPr>
          <w:p w:rsidR="002A6DC8" w:rsidRDefault="002A6DC8" w:rsidP="002A6DC8">
            <w:pPr>
              <w:autoSpaceDN w:val="0"/>
              <w:rPr>
                <w:rFonts w:cs="Arial"/>
              </w:rPr>
            </w:pPr>
          </w:p>
        </w:tc>
        <w:tc>
          <w:tcPr>
            <w:tcW w:w="1263" w:type="dxa"/>
            <w:vAlign w:val="bottom"/>
          </w:tcPr>
          <w:p w:rsidR="002A6DC8" w:rsidRDefault="002A6DC8" w:rsidP="002A6DC8">
            <w:pPr>
              <w:autoSpaceDN w:val="0"/>
              <w:rPr>
                <w:rFonts w:cs="Arial"/>
              </w:rPr>
            </w:pPr>
          </w:p>
        </w:tc>
        <w:tc>
          <w:tcPr>
            <w:tcW w:w="1620" w:type="dxa"/>
          </w:tcPr>
          <w:p w:rsidR="002A6DC8" w:rsidRDefault="002A6DC8" w:rsidP="002A6DC8">
            <w:pPr>
              <w:autoSpaceDN w:val="0"/>
              <w:rPr>
                <w:rFonts w:cs="Arial"/>
              </w:rPr>
            </w:pPr>
          </w:p>
        </w:tc>
      </w:tr>
      <w:tr w:rsidR="002A6DC8" w:rsidTr="002A6DC8">
        <w:trPr>
          <w:trHeight w:val="255"/>
        </w:trPr>
        <w:tc>
          <w:tcPr>
            <w:tcW w:w="2688" w:type="dxa"/>
            <w:noWrap/>
            <w:vAlign w:val="bottom"/>
            <w:hideMark/>
          </w:tcPr>
          <w:p w:rsidR="002A6DC8" w:rsidRPr="00E23549" w:rsidRDefault="006712AD" w:rsidP="002A6DC8">
            <w:pPr>
              <w:autoSpaceDN w:val="0"/>
              <w:rPr>
                <w:rFonts w:ascii="Times" w:hAnsi="Times"/>
                <w:b/>
                <w:szCs w:val="24"/>
              </w:rPr>
            </w:pPr>
            <w:r w:rsidRPr="00E23549">
              <w:rPr>
                <w:rFonts w:cs="Arial"/>
                <w:b/>
              </w:rPr>
              <w:t>South Dakota</w:t>
            </w:r>
            <w:r w:rsidR="002A6DC8" w:rsidRPr="00E23549">
              <w:rPr>
                <w:rFonts w:cs="Arial"/>
                <w:b/>
              </w:rPr>
              <w:t xml:space="preserve"> (1,000’s)</w:t>
            </w:r>
          </w:p>
        </w:tc>
        <w:tc>
          <w:tcPr>
            <w:tcW w:w="1263" w:type="dxa"/>
            <w:noWrap/>
            <w:vAlign w:val="bottom"/>
            <w:hideMark/>
          </w:tcPr>
          <w:p w:rsidR="002A6DC8" w:rsidRDefault="006712AD" w:rsidP="002A6DC8">
            <w:pPr>
              <w:autoSpaceDN w:val="0"/>
              <w:jc w:val="right"/>
              <w:rPr>
                <w:rFonts w:cs="Arial"/>
              </w:rPr>
            </w:pPr>
            <w:r>
              <w:rPr>
                <w:rFonts w:cs="Arial"/>
              </w:rPr>
              <w:t>2</w:t>
            </w:r>
            <w:r w:rsidR="002A6DC8">
              <w:rPr>
                <w:rFonts w:cs="Arial"/>
              </w:rPr>
              <w:t>6</w:t>
            </w:r>
            <w:r>
              <w:rPr>
                <w:rFonts w:cs="Arial"/>
              </w:rPr>
              <w:t>0</w:t>
            </w:r>
          </w:p>
        </w:tc>
        <w:tc>
          <w:tcPr>
            <w:tcW w:w="1263" w:type="dxa"/>
            <w:noWrap/>
            <w:vAlign w:val="bottom"/>
            <w:hideMark/>
          </w:tcPr>
          <w:p w:rsidR="002A6DC8" w:rsidRDefault="006712AD" w:rsidP="006712AD">
            <w:pPr>
              <w:autoSpaceDN w:val="0"/>
              <w:jc w:val="right"/>
              <w:rPr>
                <w:rFonts w:cs="Arial"/>
              </w:rPr>
            </w:pPr>
            <w:r>
              <w:rPr>
                <w:rFonts w:cs="Arial"/>
              </w:rPr>
              <w:t>265</w:t>
            </w:r>
          </w:p>
        </w:tc>
        <w:tc>
          <w:tcPr>
            <w:tcW w:w="1263" w:type="dxa"/>
            <w:vAlign w:val="bottom"/>
          </w:tcPr>
          <w:p w:rsidR="002A6DC8" w:rsidRDefault="006712AD" w:rsidP="006712AD">
            <w:pPr>
              <w:autoSpaceDN w:val="0"/>
              <w:jc w:val="right"/>
              <w:rPr>
                <w:rFonts w:cs="Arial"/>
              </w:rPr>
            </w:pPr>
            <w:r>
              <w:rPr>
                <w:rFonts w:cs="Arial"/>
              </w:rPr>
              <w:t>263</w:t>
            </w:r>
          </w:p>
        </w:tc>
        <w:tc>
          <w:tcPr>
            <w:tcW w:w="1620" w:type="dxa"/>
            <w:vMerge w:val="restart"/>
            <w:vAlign w:val="center"/>
            <w:hideMark/>
          </w:tcPr>
          <w:p w:rsidR="002A6DC8" w:rsidRDefault="002A6DC8" w:rsidP="006712AD">
            <w:pPr>
              <w:autoSpaceDN w:val="0"/>
              <w:jc w:val="center"/>
              <w:rPr>
                <w:rFonts w:cs="Arial"/>
              </w:rPr>
            </w:pPr>
            <w:r>
              <w:rPr>
                <w:rFonts w:cs="Arial"/>
              </w:rPr>
              <w:t>$1</w:t>
            </w:r>
            <w:r w:rsidR="006712AD">
              <w:rPr>
                <w:rFonts w:cs="Arial"/>
              </w:rPr>
              <w:t>19</w:t>
            </w:r>
          </w:p>
        </w:tc>
      </w:tr>
      <w:tr w:rsidR="002A6DC8" w:rsidTr="002A6DC8">
        <w:trPr>
          <w:trHeight w:val="255"/>
        </w:trPr>
        <w:tc>
          <w:tcPr>
            <w:tcW w:w="2688" w:type="dxa"/>
            <w:noWrap/>
            <w:vAlign w:val="bottom"/>
            <w:hideMark/>
          </w:tcPr>
          <w:p w:rsidR="002A6DC8" w:rsidRDefault="002A6DC8" w:rsidP="002A6DC8">
            <w:pPr>
              <w:autoSpaceDN w:val="0"/>
              <w:ind w:firstLineChars="100" w:firstLine="195"/>
              <w:rPr>
                <w:rFonts w:cs="Arial"/>
              </w:rPr>
            </w:pPr>
            <w:r>
              <w:rPr>
                <w:rFonts w:cs="Arial"/>
              </w:rPr>
              <w:t>Yield per Colony (Lbs.)</w:t>
            </w:r>
          </w:p>
        </w:tc>
        <w:tc>
          <w:tcPr>
            <w:tcW w:w="1263" w:type="dxa"/>
            <w:noWrap/>
            <w:vAlign w:val="bottom"/>
            <w:hideMark/>
          </w:tcPr>
          <w:p w:rsidR="002A6DC8" w:rsidRDefault="002A6DC8" w:rsidP="002A6DC8">
            <w:pPr>
              <w:autoSpaceDN w:val="0"/>
              <w:jc w:val="right"/>
              <w:rPr>
                <w:rFonts w:cs="Arial"/>
              </w:rPr>
            </w:pPr>
            <w:r>
              <w:rPr>
                <w:rFonts w:cs="Arial"/>
              </w:rPr>
              <w:t>6</w:t>
            </w:r>
            <w:r w:rsidR="006712AD">
              <w:rPr>
                <w:rFonts w:cs="Arial"/>
              </w:rPr>
              <w:t>3</w:t>
            </w:r>
          </w:p>
        </w:tc>
        <w:tc>
          <w:tcPr>
            <w:tcW w:w="1263" w:type="dxa"/>
            <w:noWrap/>
            <w:vAlign w:val="bottom"/>
            <w:hideMark/>
          </w:tcPr>
          <w:p w:rsidR="002A6DC8" w:rsidRDefault="002A6DC8" w:rsidP="002A6DC8">
            <w:pPr>
              <w:autoSpaceDN w:val="0"/>
              <w:jc w:val="right"/>
              <w:rPr>
                <w:rFonts w:cs="Arial"/>
              </w:rPr>
            </w:pPr>
            <w:r>
              <w:rPr>
                <w:rFonts w:cs="Arial"/>
              </w:rPr>
              <w:t>5</w:t>
            </w:r>
            <w:r w:rsidR="006712AD">
              <w:rPr>
                <w:rFonts w:cs="Arial"/>
              </w:rPr>
              <w:t>6</w:t>
            </w:r>
          </w:p>
        </w:tc>
        <w:tc>
          <w:tcPr>
            <w:tcW w:w="1263" w:type="dxa"/>
            <w:vAlign w:val="bottom"/>
          </w:tcPr>
          <w:p w:rsidR="002A6DC8" w:rsidRDefault="006712AD" w:rsidP="002A6DC8">
            <w:pPr>
              <w:autoSpaceDN w:val="0"/>
              <w:jc w:val="right"/>
              <w:rPr>
                <w:rFonts w:cs="Arial"/>
              </w:rPr>
            </w:pPr>
            <w:r>
              <w:rPr>
                <w:rFonts w:cs="Arial"/>
              </w:rPr>
              <w:t>60</w:t>
            </w:r>
          </w:p>
        </w:tc>
        <w:tc>
          <w:tcPr>
            <w:tcW w:w="1620" w:type="dxa"/>
            <w:vMerge/>
            <w:vAlign w:val="center"/>
            <w:hideMark/>
          </w:tcPr>
          <w:p w:rsidR="002A6DC8" w:rsidRDefault="002A6DC8" w:rsidP="002A6DC8">
            <w:pPr>
              <w:rPr>
                <w:rFonts w:cs="Arial"/>
              </w:rPr>
            </w:pPr>
          </w:p>
        </w:tc>
      </w:tr>
      <w:tr w:rsidR="002A6DC8" w:rsidTr="002A6DC8">
        <w:trPr>
          <w:trHeight w:val="255"/>
        </w:trPr>
        <w:tc>
          <w:tcPr>
            <w:tcW w:w="2688" w:type="dxa"/>
            <w:noWrap/>
            <w:vAlign w:val="bottom"/>
            <w:hideMark/>
          </w:tcPr>
          <w:p w:rsidR="002A6DC8" w:rsidRDefault="002A6DC8" w:rsidP="002A6DC8">
            <w:pPr>
              <w:autoSpaceDN w:val="0"/>
              <w:ind w:firstLineChars="100" w:firstLine="195"/>
              <w:rPr>
                <w:rFonts w:cs="Arial"/>
              </w:rPr>
            </w:pPr>
            <w:r>
              <w:rPr>
                <w:rFonts w:cs="Arial"/>
              </w:rPr>
              <w:t>Average Price per Lb.</w:t>
            </w:r>
          </w:p>
        </w:tc>
        <w:tc>
          <w:tcPr>
            <w:tcW w:w="1263" w:type="dxa"/>
            <w:noWrap/>
            <w:vAlign w:val="bottom"/>
            <w:hideMark/>
          </w:tcPr>
          <w:p w:rsidR="002A6DC8" w:rsidRDefault="006712AD" w:rsidP="002A6DC8">
            <w:pPr>
              <w:autoSpaceDN w:val="0"/>
              <w:jc w:val="right"/>
              <w:rPr>
                <w:rFonts w:cs="Arial"/>
              </w:rPr>
            </w:pPr>
            <w:r>
              <w:rPr>
                <w:rFonts w:cs="Arial"/>
              </w:rPr>
              <w:t>$1.95</w:t>
            </w:r>
          </w:p>
        </w:tc>
        <w:tc>
          <w:tcPr>
            <w:tcW w:w="1263" w:type="dxa"/>
            <w:noWrap/>
            <w:vAlign w:val="bottom"/>
            <w:hideMark/>
          </w:tcPr>
          <w:p w:rsidR="002A6DC8" w:rsidRDefault="006712AD" w:rsidP="002A6DC8">
            <w:pPr>
              <w:autoSpaceDN w:val="0"/>
              <w:jc w:val="right"/>
              <w:rPr>
                <w:rFonts w:cs="Arial"/>
              </w:rPr>
            </w:pPr>
            <w:r>
              <w:rPr>
                <w:rFonts w:cs="Arial"/>
              </w:rPr>
              <w:t>$2.06</w:t>
            </w:r>
          </w:p>
        </w:tc>
        <w:tc>
          <w:tcPr>
            <w:tcW w:w="1263" w:type="dxa"/>
            <w:vAlign w:val="bottom"/>
          </w:tcPr>
          <w:p w:rsidR="002A6DC8" w:rsidRDefault="006712AD" w:rsidP="002A6DC8">
            <w:pPr>
              <w:autoSpaceDN w:val="0"/>
              <w:jc w:val="right"/>
              <w:rPr>
                <w:rFonts w:cs="Arial"/>
              </w:rPr>
            </w:pPr>
            <w:r>
              <w:rPr>
                <w:rFonts w:cs="Arial"/>
              </w:rPr>
              <w:t>$2.00</w:t>
            </w:r>
          </w:p>
        </w:tc>
        <w:tc>
          <w:tcPr>
            <w:tcW w:w="1620" w:type="dxa"/>
            <w:vMerge/>
            <w:vAlign w:val="center"/>
            <w:hideMark/>
          </w:tcPr>
          <w:p w:rsidR="002A6DC8" w:rsidRDefault="002A6DC8" w:rsidP="002A6DC8">
            <w:pPr>
              <w:rPr>
                <w:rFonts w:cs="Arial"/>
              </w:rPr>
            </w:pPr>
          </w:p>
        </w:tc>
      </w:tr>
      <w:tr w:rsidR="002A6DC8" w:rsidTr="002A6DC8">
        <w:trPr>
          <w:trHeight w:val="255"/>
        </w:trPr>
        <w:tc>
          <w:tcPr>
            <w:tcW w:w="2688" w:type="dxa"/>
            <w:noWrap/>
            <w:vAlign w:val="bottom"/>
            <w:hideMark/>
          </w:tcPr>
          <w:p w:rsidR="002A6DC8" w:rsidRDefault="002A6DC8" w:rsidP="002A6DC8">
            <w:pPr>
              <w:autoSpaceDN w:val="0"/>
              <w:ind w:firstLineChars="100" w:firstLine="195"/>
              <w:rPr>
                <w:rFonts w:cs="Arial"/>
              </w:rPr>
            </w:pPr>
            <w:r>
              <w:rPr>
                <w:rFonts w:cs="Arial"/>
              </w:rPr>
              <w:t>Price per Colony.</w:t>
            </w:r>
          </w:p>
        </w:tc>
        <w:tc>
          <w:tcPr>
            <w:tcW w:w="1263" w:type="dxa"/>
            <w:noWrap/>
            <w:vAlign w:val="bottom"/>
            <w:hideMark/>
          </w:tcPr>
          <w:p w:rsidR="002A6DC8" w:rsidRDefault="002A6DC8" w:rsidP="006712AD">
            <w:pPr>
              <w:autoSpaceDN w:val="0"/>
              <w:jc w:val="right"/>
              <w:rPr>
                <w:rFonts w:cs="Arial"/>
              </w:rPr>
            </w:pPr>
            <w:r>
              <w:rPr>
                <w:rFonts w:cs="Arial"/>
              </w:rPr>
              <w:t>$12</w:t>
            </w:r>
            <w:r w:rsidR="006712AD">
              <w:rPr>
                <w:rFonts w:cs="Arial"/>
              </w:rPr>
              <w:t>2.85</w:t>
            </w:r>
          </w:p>
        </w:tc>
        <w:tc>
          <w:tcPr>
            <w:tcW w:w="1263" w:type="dxa"/>
            <w:noWrap/>
            <w:vAlign w:val="bottom"/>
            <w:hideMark/>
          </w:tcPr>
          <w:p w:rsidR="002A6DC8" w:rsidRDefault="002A6DC8" w:rsidP="006712AD">
            <w:pPr>
              <w:autoSpaceDN w:val="0"/>
              <w:jc w:val="right"/>
              <w:rPr>
                <w:rFonts w:cs="Arial"/>
              </w:rPr>
            </w:pPr>
            <w:r>
              <w:rPr>
                <w:rFonts w:cs="Arial"/>
              </w:rPr>
              <w:t>$115</w:t>
            </w:r>
            <w:r w:rsidR="006712AD">
              <w:rPr>
                <w:rFonts w:cs="Arial"/>
              </w:rPr>
              <w:t>.36</w:t>
            </w:r>
          </w:p>
        </w:tc>
        <w:tc>
          <w:tcPr>
            <w:tcW w:w="1263" w:type="dxa"/>
            <w:vAlign w:val="bottom"/>
          </w:tcPr>
          <w:p w:rsidR="002A6DC8" w:rsidRDefault="002A6DC8" w:rsidP="002A6DC8">
            <w:pPr>
              <w:autoSpaceDN w:val="0"/>
              <w:jc w:val="right"/>
              <w:rPr>
                <w:rFonts w:cs="Arial"/>
              </w:rPr>
            </w:pPr>
            <w:r>
              <w:rPr>
                <w:rFonts w:cs="Arial"/>
              </w:rPr>
              <w:t>$</w:t>
            </w:r>
            <w:r w:rsidR="006712AD">
              <w:rPr>
                <w:rFonts w:cs="Arial"/>
              </w:rPr>
              <w:t>119.11</w:t>
            </w:r>
          </w:p>
        </w:tc>
        <w:tc>
          <w:tcPr>
            <w:tcW w:w="1620" w:type="dxa"/>
            <w:vMerge/>
            <w:vAlign w:val="center"/>
            <w:hideMark/>
          </w:tcPr>
          <w:p w:rsidR="002A6DC8" w:rsidRDefault="002A6DC8" w:rsidP="002A6DC8">
            <w:pPr>
              <w:rPr>
                <w:rFonts w:cs="Arial"/>
              </w:rPr>
            </w:pPr>
          </w:p>
        </w:tc>
      </w:tr>
      <w:tr w:rsidR="002A6DC8" w:rsidTr="002A6DC8">
        <w:trPr>
          <w:trHeight w:val="255"/>
        </w:trPr>
        <w:tc>
          <w:tcPr>
            <w:tcW w:w="2688" w:type="dxa"/>
            <w:noWrap/>
            <w:vAlign w:val="bottom"/>
          </w:tcPr>
          <w:p w:rsidR="002A6DC8" w:rsidRDefault="002A6DC8" w:rsidP="002A6DC8">
            <w:pPr>
              <w:autoSpaceDN w:val="0"/>
              <w:ind w:firstLineChars="100" w:firstLine="195"/>
              <w:rPr>
                <w:rFonts w:cs="Arial"/>
              </w:rPr>
            </w:pPr>
          </w:p>
        </w:tc>
        <w:tc>
          <w:tcPr>
            <w:tcW w:w="1263" w:type="dxa"/>
            <w:noWrap/>
            <w:vAlign w:val="bottom"/>
          </w:tcPr>
          <w:p w:rsidR="002A6DC8" w:rsidRDefault="002A6DC8" w:rsidP="002A6DC8">
            <w:pPr>
              <w:autoSpaceDN w:val="0"/>
              <w:jc w:val="center"/>
              <w:rPr>
                <w:rFonts w:cs="Arial"/>
              </w:rPr>
            </w:pPr>
          </w:p>
        </w:tc>
        <w:tc>
          <w:tcPr>
            <w:tcW w:w="1263" w:type="dxa"/>
            <w:noWrap/>
            <w:vAlign w:val="bottom"/>
          </w:tcPr>
          <w:p w:rsidR="002A6DC8" w:rsidRDefault="002A6DC8" w:rsidP="002A6DC8">
            <w:pPr>
              <w:autoSpaceDN w:val="0"/>
              <w:rPr>
                <w:rFonts w:cs="Arial"/>
              </w:rPr>
            </w:pPr>
          </w:p>
        </w:tc>
        <w:tc>
          <w:tcPr>
            <w:tcW w:w="1263" w:type="dxa"/>
            <w:vAlign w:val="bottom"/>
          </w:tcPr>
          <w:p w:rsidR="002A6DC8" w:rsidRDefault="002A6DC8" w:rsidP="002A6DC8">
            <w:pPr>
              <w:autoSpaceDN w:val="0"/>
              <w:rPr>
                <w:rFonts w:cs="Arial"/>
              </w:rPr>
            </w:pPr>
          </w:p>
        </w:tc>
        <w:tc>
          <w:tcPr>
            <w:tcW w:w="1620" w:type="dxa"/>
          </w:tcPr>
          <w:p w:rsidR="002A6DC8" w:rsidRDefault="002A6DC8" w:rsidP="002A6DC8">
            <w:pPr>
              <w:autoSpaceDN w:val="0"/>
              <w:rPr>
                <w:rFonts w:cs="Arial"/>
              </w:rPr>
            </w:pPr>
          </w:p>
        </w:tc>
      </w:tr>
    </w:tbl>
    <w:p w:rsidR="006059C6" w:rsidRPr="00862DC4" w:rsidRDefault="00862DC4" w:rsidP="006712AD">
      <w:pPr>
        <w:rPr>
          <w:rFonts w:ascii="Times New Roman" w:hAnsi="Times New Roman"/>
          <w:sz w:val="24"/>
        </w:rPr>
      </w:pPr>
      <w:r>
        <w:rPr>
          <w:rFonts w:ascii="Times New Roman" w:hAnsi="Times New Roman"/>
          <w:sz w:val="24"/>
        </w:rPr>
        <w:t>Based upon the above data the</w:t>
      </w:r>
      <w:r w:rsidR="006059C6" w:rsidRPr="00862DC4">
        <w:rPr>
          <w:rFonts w:ascii="Times New Roman" w:hAnsi="Times New Roman"/>
          <w:sz w:val="24"/>
        </w:rPr>
        <w:t xml:space="preserve"> comparable rental rates for honey production on a typical site o</w:t>
      </w:r>
      <w:r>
        <w:rPr>
          <w:rFonts w:ascii="Times New Roman" w:hAnsi="Times New Roman"/>
          <w:sz w:val="24"/>
        </w:rPr>
        <w:t>n</w:t>
      </w:r>
      <w:r w:rsidR="006059C6" w:rsidRPr="00862DC4">
        <w:rPr>
          <w:rFonts w:ascii="Times New Roman" w:hAnsi="Times New Roman"/>
          <w:sz w:val="24"/>
        </w:rPr>
        <w:t xml:space="preserve"> private </w:t>
      </w:r>
      <w:r w:rsidR="00A467A9">
        <w:rPr>
          <w:rFonts w:ascii="Times New Roman" w:hAnsi="Times New Roman"/>
          <w:sz w:val="24"/>
        </w:rPr>
        <w:t xml:space="preserve">land within the study area, and </w:t>
      </w:r>
      <w:r w:rsidR="006059C6" w:rsidRPr="00862DC4">
        <w:rPr>
          <w:rFonts w:ascii="Times New Roman" w:hAnsi="Times New Roman"/>
          <w:sz w:val="24"/>
        </w:rPr>
        <w:t>U</w:t>
      </w:r>
      <w:r w:rsidR="00A467A9">
        <w:rPr>
          <w:rFonts w:ascii="Times New Roman" w:hAnsi="Times New Roman"/>
          <w:sz w:val="24"/>
        </w:rPr>
        <w:t>nited States</w:t>
      </w:r>
      <w:r w:rsidR="006059C6" w:rsidRPr="00862DC4">
        <w:rPr>
          <w:rFonts w:ascii="Times New Roman" w:hAnsi="Times New Roman"/>
          <w:sz w:val="24"/>
        </w:rPr>
        <w:t xml:space="preserve"> overall, range from $</w:t>
      </w:r>
      <w:r w:rsidR="006712AD" w:rsidRPr="00862DC4">
        <w:rPr>
          <w:rFonts w:ascii="Times New Roman" w:hAnsi="Times New Roman"/>
          <w:sz w:val="24"/>
        </w:rPr>
        <w:t>116</w:t>
      </w:r>
      <w:r w:rsidR="006059C6" w:rsidRPr="00862DC4">
        <w:rPr>
          <w:rFonts w:ascii="Times New Roman" w:hAnsi="Times New Roman"/>
          <w:sz w:val="24"/>
        </w:rPr>
        <w:t xml:space="preserve"> to $14</w:t>
      </w:r>
      <w:r w:rsidR="006712AD" w:rsidRPr="00862DC4">
        <w:rPr>
          <w:rFonts w:ascii="Times New Roman" w:hAnsi="Times New Roman"/>
          <w:sz w:val="24"/>
        </w:rPr>
        <w:t>8</w:t>
      </w:r>
      <w:r w:rsidR="006059C6" w:rsidRPr="00862DC4">
        <w:rPr>
          <w:rFonts w:ascii="Times New Roman" w:hAnsi="Times New Roman"/>
          <w:sz w:val="24"/>
        </w:rPr>
        <w:t xml:space="preserve"> per year. </w:t>
      </w:r>
      <w:r w:rsidR="006712AD" w:rsidRPr="00862DC4">
        <w:rPr>
          <w:rFonts w:ascii="Times New Roman" w:hAnsi="Times New Roman"/>
          <w:sz w:val="24"/>
        </w:rPr>
        <w:t xml:space="preserve">Considering the narrow range of the data the appraiser estimates the </w:t>
      </w:r>
      <w:r w:rsidR="00A467A9">
        <w:rPr>
          <w:rFonts w:ascii="Times New Roman" w:hAnsi="Times New Roman"/>
          <w:sz w:val="24"/>
        </w:rPr>
        <w:t>BLM S</w:t>
      </w:r>
      <w:r w:rsidR="006712AD" w:rsidRPr="00862DC4">
        <w:rPr>
          <w:rFonts w:ascii="Times New Roman" w:hAnsi="Times New Roman"/>
          <w:sz w:val="24"/>
        </w:rPr>
        <w:t>ite fee for Apiary Sites at $132 which is the m</w:t>
      </w:r>
      <w:r w:rsidR="006059C6" w:rsidRPr="00862DC4">
        <w:rPr>
          <w:rFonts w:ascii="Times New Roman" w:hAnsi="Times New Roman"/>
          <w:sz w:val="24"/>
        </w:rPr>
        <w:t xml:space="preserve">iddle of the range.  Typical site size is </w:t>
      </w:r>
      <w:r w:rsidR="00A467A9">
        <w:rPr>
          <w:rFonts w:ascii="Times New Roman" w:hAnsi="Times New Roman"/>
          <w:sz w:val="24"/>
        </w:rPr>
        <w:t xml:space="preserve">estimated at </w:t>
      </w:r>
      <w:r w:rsidR="006059C6" w:rsidRPr="00862DC4">
        <w:rPr>
          <w:rFonts w:ascii="Times New Roman" w:hAnsi="Times New Roman"/>
          <w:sz w:val="24"/>
        </w:rPr>
        <w:t xml:space="preserve">one acre.  </w:t>
      </w:r>
    </w:p>
    <w:p w:rsidR="006059C6" w:rsidRPr="00147079" w:rsidRDefault="006059C6" w:rsidP="00DD0DE4">
      <w:pPr>
        <w:jc w:val="left"/>
        <w:rPr>
          <w:rFonts w:ascii="Times New Roman" w:hAnsi="Times New Roman"/>
          <w:sz w:val="24"/>
          <w:szCs w:val="24"/>
        </w:rPr>
      </w:pPr>
    </w:p>
    <w:p w:rsidR="00D86CD5" w:rsidRDefault="00D86CD5" w:rsidP="00DD0DE4">
      <w:pPr>
        <w:jc w:val="left"/>
        <w:rPr>
          <w:rFonts w:ascii="Times New Roman" w:hAnsi="Times New Roman"/>
          <w:sz w:val="24"/>
          <w:szCs w:val="24"/>
        </w:rPr>
      </w:pPr>
    </w:p>
    <w:p w:rsidR="00843210" w:rsidRDefault="00843210" w:rsidP="00DD0DE4">
      <w:pPr>
        <w:jc w:val="left"/>
        <w:rPr>
          <w:rFonts w:ascii="Times New Roman" w:hAnsi="Times New Roman"/>
          <w:sz w:val="24"/>
          <w:szCs w:val="24"/>
        </w:rPr>
      </w:pPr>
    </w:p>
    <w:p w:rsidR="00843210" w:rsidRDefault="00843210" w:rsidP="00DD0DE4">
      <w:pPr>
        <w:jc w:val="left"/>
        <w:rPr>
          <w:rFonts w:ascii="Times New Roman" w:hAnsi="Times New Roman"/>
          <w:sz w:val="24"/>
          <w:szCs w:val="24"/>
        </w:rPr>
      </w:pPr>
    </w:p>
    <w:p w:rsidR="00843210" w:rsidRDefault="00843210" w:rsidP="00DD0DE4">
      <w:pPr>
        <w:jc w:val="left"/>
        <w:rPr>
          <w:rFonts w:ascii="Times New Roman" w:hAnsi="Times New Roman"/>
          <w:sz w:val="24"/>
          <w:szCs w:val="24"/>
        </w:rPr>
      </w:pPr>
    </w:p>
    <w:p w:rsidR="00843210" w:rsidRDefault="005A0128" w:rsidP="00DD0DE4">
      <w:pPr>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Attachment 2-4</w:t>
      </w:r>
    </w:p>
    <w:p w:rsidR="00843210" w:rsidRDefault="00843210" w:rsidP="00DD0DE4">
      <w:pPr>
        <w:jc w:val="left"/>
        <w:rPr>
          <w:rFonts w:ascii="Times New Roman" w:hAnsi="Times New Roman"/>
          <w:b/>
          <w:sz w:val="28"/>
          <w:szCs w:val="28"/>
        </w:rPr>
      </w:pPr>
      <w:r w:rsidRPr="00843210">
        <w:rPr>
          <w:rFonts w:ascii="Times New Roman" w:hAnsi="Times New Roman"/>
          <w:b/>
          <w:sz w:val="28"/>
          <w:szCs w:val="28"/>
        </w:rPr>
        <w:t>Agricultural Trespasses (Cropland)</w:t>
      </w:r>
    </w:p>
    <w:p w:rsidR="00843210" w:rsidRDefault="00843210" w:rsidP="00DD0DE4">
      <w:pPr>
        <w:jc w:val="left"/>
        <w:rPr>
          <w:rFonts w:ascii="Times New Roman" w:hAnsi="Times New Roman"/>
          <w:b/>
          <w:sz w:val="28"/>
          <w:szCs w:val="28"/>
        </w:rPr>
      </w:pPr>
    </w:p>
    <w:p w:rsidR="00843210" w:rsidRDefault="00843210" w:rsidP="00DD0DE4">
      <w:pPr>
        <w:jc w:val="left"/>
        <w:rPr>
          <w:rFonts w:ascii="Times New Roman" w:hAnsi="Times New Roman"/>
          <w:sz w:val="24"/>
          <w:szCs w:val="24"/>
        </w:rPr>
      </w:pPr>
      <w:r>
        <w:rPr>
          <w:rFonts w:ascii="Times New Roman" w:hAnsi="Times New Roman"/>
          <w:sz w:val="24"/>
          <w:szCs w:val="24"/>
        </w:rPr>
        <w:t xml:space="preserve">There are instances where lands that are owned by the United States of America/Bureau of Land Management are being utilized as crop land in conjunction with privately held ownerships. Regardless whether the crop production is </w:t>
      </w:r>
      <w:proofErr w:type="spellStart"/>
      <w:r>
        <w:rPr>
          <w:rFonts w:ascii="Times New Roman" w:hAnsi="Times New Roman"/>
          <w:sz w:val="24"/>
          <w:szCs w:val="24"/>
        </w:rPr>
        <w:t>dryland</w:t>
      </w:r>
      <w:proofErr w:type="spellEnd"/>
      <w:r>
        <w:rPr>
          <w:rFonts w:ascii="Times New Roman" w:hAnsi="Times New Roman"/>
          <w:sz w:val="24"/>
          <w:szCs w:val="24"/>
        </w:rPr>
        <w:t xml:space="preserve"> or irrigated the land being considered is always viewed as being </w:t>
      </w:r>
      <w:proofErr w:type="spellStart"/>
      <w:r>
        <w:rPr>
          <w:rFonts w:ascii="Times New Roman" w:hAnsi="Times New Roman"/>
          <w:sz w:val="24"/>
          <w:szCs w:val="24"/>
        </w:rPr>
        <w:t>dryland</w:t>
      </w:r>
      <w:proofErr w:type="spellEnd"/>
      <w:r>
        <w:rPr>
          <w:rFonts w:ascii="Times New Roman" w:hAnsi="Times New Roman"/>
          <w:sz w:val="24"/>
          <w:szCs w:val="24"/>
        </w:rPr>
        <w:t xml:space="preserve"> as USA/BLM does not provide irrigations rights, any irrigation water being applied to the land is through the private operator who is farming the parcel.</w:t>
      </w:r>
      <w:r w:rsidR="003E5B29">
        <w:rPr>
          <w:rFonts w:ascii="Times New Roman" w:hAnsi="Times New Roman"/>
          <w:sz w:val="24"/>
          <w:szCs w:val="24"/>
        </w:rPr>
        <w:t xml:space="preserve"> The following discussion and analysis is based upon current </w:t>
      </w:r>
      <w:r w:rsidR="009F3F29">
        <w:rPr>
          <w:rFonts w:ascii="Times New Roman" w:hAnsi="Times New Roman"/>
          <w:sz w:val="24"/>
          <w:szCs w:val="24"/>
        </w:rPr>
        <w:t>l</w:t>
      </w:r>
      <w:r w:rsidR="003E5B29">
        <w:rPr>
          <w:rFonts w:ascii="Times New Roman" w:hAnsi="Times New Roman"/>
          <w:sz w:val="24"/>
          <w:szCs w:val="24"/>
        </w:rPr>
        <w:t>ease</w:t>
      </w:r>
      <w:r w:rsidR="009F3F29">
        <w:rPr>
          <w:rFonts w:ascii="Times New Roman" w:hAnsi="Times New Roman"/>
          <w:sz w:val="24"/>
          <w:szCs w:val="24"/>
        </w:rPr>
        <w:t xml:space="preserve"> agreements for </w:t>
      </w:r>
      <w:r w:rsidR="003E5B29">
        <w:rPr>
          <w:rFonts w:ascii="Times New Roman" w:hAnsi="Times New Roman"/>
          <w:sz w:val="24"/>
          <w:szCs w:val="24"/>
        </w:rPr>
        <w:t>dry cropland.</w:t>
      </w:r>
    </w:p>
    <w:p w:rsidR="003E5B29" w:rsidRDefault="003E5B29" w:rsidP="00DD0DE4">
      <w:pPr>
        <w:jc w:val="left"/>
        <w:rPr>
          <w:rFonts w:ascii="Times New Roman" w:hAnsi="Times New Roman"/>
          <w:sz w:val="24"/>
          <w:szCs w:val="24"/>
        </w:rPr>
      </w:pPr>
    </w:p>
    <w:p w:rsidR="003E5B29" w:rsidRDefault="003E5B29" w:rsidP="00DD0DE4">
      <w:pPr>
        <w:jc w:val="left"/>
        <w:rPr>
          <w:rFonts w:ascii="Times New Roman" w:hAnsi="Times New Roman"/>
          <w:sz w:val="24"/>
          <w:szCs w:val="24"/>
        </w:rPr>
      </w:pPr>
      <w:r>
        <w:rPr>
          <w:rFonts w:ascii="Times New Roman" w:hAnsi="Times New Roman"/>
          <w:sz w:val="24"/>
          <w:szCs w:val="24"/>
        </w:rPr>
        <w:t>After</w:t>
      </w:r>
      <w:r w:rsidR="00B4795B">
        <w:rPr>
          <w:rFonts w:ascii="Times New Roman" w:hAnsi="Times New Roman"/>
          <w:sz w:val="24"/>
          <w:szCs w:val="24"/>
        </w:rPr>
        <w:t xml:space="preserve"> an</w:t>
      </w:r>
      <w:r>
        <w:rPr>
          <w:rFonts w:ascii="Times New Roman" w:hAnsi="Times New Roman"/>
          <w:sz w:val="24"/>
          <w:szCs w:val="24"/>
        </w:rPr>
        <w:t xml:space="preserve"> extensive research which involved discussions with regional farming operations and agricultural lenders the following conclusions were derived.</w:t>
      </w:r>
    </w:p>
    <w:p w:rsidR="003E5B29" w:rsidRDefault="003E5B29" w:rsidP="00DD0DE4">
      <w:pPr>
        <w:jc w:val="left"/>
        <w:rPr>
          <w:rFonts w:ascii="Times New Roman" w:hAnsi="Times New Roman"/>
          <w:sz w:val="24"/>
          <w:szCs w:val="24"/>
        </w:rPr>
      </w:pPr>
    </w:p>
    <w:p w:rsidR="003E5B29" w:rsidRDefault="003E5B29" w:rsidP="003E5B29">
      <w:pPr>
        <w:pStyle w:val="ListParagraph"/>
        <w:numPr>
          <w:ilvl w:val="0"/>
          <w:numId w:val="3"/>
        </w:numPr>
        <w:rPr>
          <w:rFonts w:ascii="Times New Roman" w:hAnsi="Times New Roman"/>
          <w:sz w:val="24"/>
          <w:szCs w:val="24"/>
        </w:rPr>
      </w:pPr>
      <w:r>
        <w:rPr>
          <w:rFonts w:ascii="Times New Roman" w:hAnsi="Times New Roman"/>
          <w:sz w:val="24"/>
          <w:szCs w:val="24"/>
        </w:rPr>
        <w:t xml:space="preserve">Most cropland is being leased on a share crop basis with the landowner receiving </w:t>
      </w:r>
      <w:r>
        <w:rPr>
          <w:rFonts w:ascii="Times New Roman" w:hAnsi="Times New Roman" w:cs="Times New Roman"/>
          <w:sz w:val="24"/>
          <w:szCs w:val="24"/>
        </w:rPr>
        <w:t>⅓</w:t>
      </w:r>
      <w:r>
        <w:rPr>
          <w:rFonts w:ascii="Times New Roman" w:hAnsi="Times New Roman"/>
          <w:sz w:val="24"/>
          <w:szCs w:val="24"/>
        </w:rPr>
        <w:t xml:space="preserve"> to ½ of the harvested crop. The variances is dependent upon the production cost shared by the</w:t>
      </w:r>
      <w:r w:rsidR="00AE0D13">
        <w:rPr>
          <w:rFonts w:ascii="Times New Roman" w:hAnsi="Times New Roman"/>
          <w:sz w:val="24"/>
          <w:szCs w:val="24"/>
        </w:rPr>
        <w:t xml:space="preserve"> owner.</w:t>
      </w:r>
      <w:r>
        <w:rPr>
          <w:rFonts w:ascii="Times New Roman" w:hAnsi="Times New Roman"/>
          <w:sz w:val="24"/>
          <w:szCs w:val="24"/>
        </w:rPr>
        <w:t xml:space="preserve"> </w:t>
      </w:r>
    </w:p>
    <w:p w:rsidR="00CD623E" w:rsidRDefault="00CD623E" w:rsidP="00CD623E">
      <w:pPr>
        <w:pStyle w:val="ListParagraph"/>
        <w:rPr>
          <w:rFonts w:ascii="Times New Roman" w:hAnsi="Times New Roman"/>
          <w:sz w:val="24"/>
          <w:szCs w:val="24"/>
        </w:rPr>
      </w:pPr>
    </w:p>
    <w:p w:rsidR="003E5B29" w:rsidRDefault="003E5B29" w:rsidP="003E5B29">
      <w:pPr>
        <w:pStyle w:val="ListParagraph"/>
        <w:numPr>
          <w:ilvl w:val="0"/>
          <w:numId w:val="3"/>
        </w:numPr>
        <w:rPr>
          <w:rFonts w:ascii="Times New Roman" w:hAnsi="Times New Roman"/>
          <w:sz w:val="24"/>
          <w:szCs w:val="24"/>
        </w:rPr>
      </w:pPr>
      <w:r>
        <w:rPr>
          <w:rFonts w:ascii="Times New Roman" w:hAnsi="Times New Roman"/>
          <w:sz w:val="24"/>
          <w:szCs w:val="24"/>
        </w:rPr>
        <w:t xml:space="preserve">The cash lease basis is less common than the share crop basis. Currently the accepted rate for cash leases </w:t>
      </w:r>
      <w:r w:rsidR="00CD623E">
        <w:rPr>
          <w:rFonts w:ascii="Times New Roman" w:hAnsi="Times New Roman"/>
          <w:sz w:val="24"/>
          <w:szCs w:val="24"/>
        </w:rPr>
        <w:t>is $</w:t>
      </w:r>
      <w:r>
        <w:rPr>
          <w:rFonts w:ascii="Times New Roman" w:hAnsi="Times New Roman"/>
          <w:sz w:val="24"/>
          <w:szCs w:val="24"/>
        </w:rPr>
        <w:t>0.90</w:t>
      </w:r>
      <w:r w:rsidR="00CD623E">
        <w:rPr>
          <w:rFonts w:ascii="Times New Roman" w:hAnsi="Times New Roman"/>
          <w:sz w:val="24"/>
          <w:szCs w:val="24"/>
        </w:rPr>
        <w:t xml:space="preserve"> per bushel of the proven average yield (dry land wheat) per acre for the entire leased property. There is no discount for fallow acres. </w:t>
      </w:r>
    </w:p>
    <w:p w:rsidR="00CD623E" w:rsidRDefault="00CD623E" w:rsidP="00CD623E">
      <w:pPr>
        <w:rPr>
          <w:rFonts w:ascii="Times New Roman" w:hAnsi="Times New Roman"/>
          <w:sz w:val="24"/>
          <w:szCs w:val="24"/>
        </w:rPr>
      </w:pPr>
      <w:r>
        <w:rPr>
          <w:rFonts w:ascii="Times New Roman" w:hAnsi="Times New Roman"/>
          <w:sz w:val="24"/>
          <w:szCs w:val="24"/>
        </w:rPr>
        <w:t>Based upon the above scenario the following table is to be used in determining the per acre lease rate for cropland cash leases.</w:t>
      </w:r>
    </w:p>
    <w:p w:rsidR="00CD623E" w:rsidRPr="00CD623E" w:rsidRDefault="00CD623E" w:rsidP="00CD623E">
      <w:pPr>
        <w:rPr>
          <w:rFonts w:ascii="Times New Roman" w:hAnsi="Times New Roman"/>
          <w:sz w:val="24"/>
          <w:szCs w:val="24"/>
        </w:rPr>
      </w:pPr>
    </w:p>
    <w:tbl>
      <w:tblPr>
        <w:tblStyle w:val="TableGrid"/>
        <w:tblpPr w:leftFromText="180" w:rightFromText="180" w:vertAnchor="text" w:horzAnchor="margin" w:tblpXSpec="center" w:tblpYSpec="center"/>
        <w:tblW w:w="0" w:type="auto"/>
        <w:tblLook w:val="04A0" w:firstRow="1" w:lastRow="0" w:firstColumn="1" w:lastColumn="0" w:noHBand="0" w:noVBand="1"/>
      </w:tblPr>
      <w:tblGrid>
        <w:gridCol w:w="2574"/>
        <w:gridCol w:w="2574"/>
        <w:gridCol w:w="2574"/>
      </w:tblGrid>
      <w:tr w:rsidR="00CD623E" w:rsidTr="00CD623E">
        <w:tc>
          <w:tcPr>
            <w:tcW w:w="2574" w:type="dxa"/>
          </w:tcPr>
          <w:p w:rsidR="00CD623E" w:rsidRDefault="00CD623E" w:rsidP="00CD623E">
            <w:pPr>
              <w:jc w:val="center"/>
              <w:rPr>
                <w:rFonts w:ascii="Times New Roman" w:hAnsi="Times New Roman"/>
                <w:sz w:val="24"/>
                <w:szCs w:val="24"/>
              </w:rPr>
            </w:pPr>
            <w:r>
              <w:rPr>
                <w:rFonts w:ascii="Times New Roman" w:hAnsi="Times New Roman"/>
                <w:sz w:val="24"/>
                <w:szCs w:val="24"/>
              </w:rPr>
              <w:t>Yield Rate</w:t>
            </w:r>
          </w:p>
        </w:tc>
        <w:tc>
          <w:tcPr>
            <w:tcW w:w="2574" w:type="dxa"/>
          </w:tcPr>
          <w:p w:rsidR="00CD623E" w:rsidRDefault="00CD623E" w:rsidP="00CD623E">
            <w:pPr>
              <w:jc w:val="center"/>
              <w:rPr>
                <w:rFonts w:ascii="Times New Roman" w:hAnsi="Times New Roman"/>
                <w:sz w:val="24"/>
                <w:szCs w:val="24"/>
              </w:rPr>
            </w:pPr>
            <w:r>
              <w:rPr>
                <w:rFonts w:ascii="Times New Roman" w:hAnsi="Times New Roman"/>
                <w:sz w:val="24"/>
                <w:szCs w:val="24"/>
              </w:rPr>
              <w:t>Rate</w:t>
            </w:r>
          </w:p>
        </w:tc>
        <w:tc>
          <w:tcPr>
            <w:tcW w:w="2574" w:type="dxa"/>
          </w:tcPr>
          <w:p w:rsidR="00CD623E" w:rsidRDefault="00CD623E" w:rsidP="00CD623E">
            <w:pPr>
              <w:jc w:val="center"/>
              <w:rPr>
                <w:rFonts w:ascii="Times New Roman" w:hAnsi="Times New Roman"/>
                <w:sz w:val="24"/>
                <w:szCs w:val="24"/>
              </w:rPr>
            </w:pPr>
            <w:r>
              <w:rPr>
                <w:rFonts w:ascii="Times New Roman" w:hAnsi="Times New Roman"/>
                <w:sz w:val="24"/>
                <w:szCs w:val="24"/>
              </w:rPr>
              <w:t>$$/Acre Lease Rate</w:t>
            </w:r>
          </w:p>
        </w:tc>
      </w:tr>
      <w:tr w:rsidR="00CD623E" w:rsidTr="00CD623E">
        <w:trPr>
          <w:trHeight w:val="332"/>
        </w:trPr>
        <w:tc>
          <w:tcPr>
            <w:tcW w:w="2574" w:type="dxa"/>
          </w:tcPr>
          <w:p w:rsidR="00CD623E" w:rsidRDefault="00CD623E" w:rsidP="00CD623E">
            <w:pPr>
              <w:jc w:val="center"/>
              <w:rPr>
                <w:rFonts w:ascii="Times New Roman" w:hAnsi="Times New Roman"/>
                <w:sz w:val="24"/>
                <w:szCs w:val="24"/>
              </w:rPr>
            </w:pPr>
            <w:r>
              <w:rPr>
                <w:rFonts w:ascii="Times New Roman" w:hAnsi="Times New Roman"/>
                <w:sz w:val="24"/>
                <w:szCs w:val="24"/>
              </w:rPr>
              <w:t>30 Bu.</w:t>
            </w:r>
          </w:p>
        </w:tc>
        <w:tc>
          <w:tcPr>
            <w:tcW w:w="2574" w:type="dxa"/>
          </w:tcPr>
          <w:p w:rsidR="00CD623E" w:rsidRDefault="00CD623E" w:rsidP="00CD623E">
            <w:pPr>
              <w:jc w:val="center"/>
              <w:rPr>
                <w:rFonts w:ascii="Times New Roman" w:hAnsi="Times New Roman"/>
                <w:sz w:val="24"/>
                <w:szCs w:val="24"/>
              </w:rPr>
            </w:pPr>
            <w:r>
              <w:rPr>
                <w:rFonts w:ascii="Times New Roman" w:hAnsi="Times New Roman"/>
                <w:sz w:val="24"/>
                <w:szCs w:val="24"/>
              </w:rPr>
              <w:t>.90</w:t>
            </w:r>
          </w:p>
        </w:tc>
        <w:tc>
          <w:tcPr>
            <w:tcW w:w="2574" w:type="dxa"/>
          </w:tcPr>
          <w:p w:rsidR="00CD623E" w:rsidRDefault="00CD623E" w:rsidP="00CD623E">
            <w:pPr>
              <w:jc w:val="center"/>
              <w:rPr>
                <w:rFonts w:ascii="Times New Roman" w:hAnsi="Times New Roman"/>
                <w:sz w:val="24"/>
                <w:szCs w:val="24"/>
              </w:rPr>
            </w:pPr>
            <w:r>
              <w:rPr>
                <w:rFonts w:ascii="Times New Roman" w:hAnsi="Times New Roman"/>
                <w:sz w:val="24"/>
                <w:szCs w:val="24"/>
              </w:rPr>
              <w:t>$27 acre</w:t>
            </w:r>
          </w:p>
        </w:tc>
      </w:tr>
      <w:tr w:rsidR="00CD623E" w:rsidTr="00CD623E">
        <w:tc>
          <w:tcPr>
            <w:tcW w:w="2574" w:type="dxa"/>
          </w:tcPr>
          <w:p w:rsidR="00CD623E" w:rsidRDefault="00CD623E" w:rsidP="00CD623E">
            <w:pPr>
              <w:jc w:val="center"/>
              <w:rPr>
                <w:rFonts w:ascii="Times New Roman" w:hAnsi="Times New Roman"/>
                <w:sz w:val="24"/>
                <w:szCs w:val="24"/>
              </w:rPr>
            </w:pPr>
            <w:r>
              <w:rPr>
                <w:rFonts w:ascii="Times New Roman" w:hAnsi="Times New Roman"/>
                <w:sz w:val="24"/>
                <w:szCs w:val="24"/>
              </w:rPr>
              <w:t>35 Bu.</w:t>
            </w:r>
          </w:p>
        </w:tc>
        <w:tc>
          <w:tcPr>
            <w:tcW w:w="2574" w:type="dxa"/>
          </w:tcPr>
          <w:p w:rsidR="00CD623E" w:rsidRDefault="00CD623E" w:rsidP="00CD623E">
            <w:pPr>
              <w:jc w:val="center"/>
              <w:rPr>
                <w:rFonts w:ascii="Times New Roman" w:hAnsi="Times New Roman"/>
                <w:sz w:val="24"/>
                <w:szCs w:val="24"/>
              </w:rPr>
            </w:pPr>
            <w:r>
              <w:rPr>
                <w:rFonts w:ascii="Times New Roman" w:hAnsi="Times New Roman"/>
                <w:sz w:val="24"/>
                <w:szCs w:val="24"/>
              </w:rPr>
              <w:t>.90</w:t>
            </w:r>
          </w:p>
        </w:tc>
        <w:tc>
          <w:tcPr>
            <w:tcW w:w="2574" w:type="dxa"/>
          </w:tcPr>
          <w:p w:rsidR="00CD623E" w:rsidRDefault="00CD623E" w:rsidP="00CD623E">
            <w:pPr>
              <w:jc w:val="center"/>
              <w:rPr>
                <w:rFonts w:ascii="Times New Roman" w:hAnsi="Times New Roman"/>
                <w:sz w:val="24"/>
                <w:szCs w:val="24"/>
              </w:rPr>
            </w:pPr>
            <w:r>
              <w:rPr>
                <w:rFonts w:ascii="Times New Roman" w:hAnsi="Times New Roman"/>
                <w:sz w:val="24"/>
                <w:szCs w:val="24"/>
              </w:rPr>
              <w:t>$32 acre</w:t>
            </w:r>
          </w:p>
        </w:tc>
      </w:tr>
      <w:tr w:rsidR="00CD623E" w:rsidTr="00CD623E">
        <w:tc>
          <w:tcPr>
            <w:tcW w:w="2574" w:type="dxa"/>
          </w:tcPr>
          <w:p w:rsidR="00CD623E" w:rsidRDefault="00CD623E" w:rsidP="00CD623E">
            <w:pPr>
              <w:jc w:val="center"/>
              <w:rPr>
                <w:rFonts w:ascii="Times New Roman" w:hAnsi="Times New Roman"/>
                <w:sz w:val="24"/>
                <w:szCs w:val="24"/>
              </w:rPr>
            </w:pPr>
            <w:r>
              <w:rPr>
                <w:rFonts w:ascii="Times New Roman" w:hAnsi="Times New Roman"/>
                <w:sz w:val="24"/>
                <w:szCs w:val="24"/>
              </w:rPr>
              <w:t>40 Bu.</w:t>
            </w:r>
          </w:p>
        </w:tc>
        <w:tc>
          <w:tcPr>
            <w:tcW w:w="2574" w:type="dxa"/>
          </w:tcPr>
          <w:p w:rsidR="00CD623E" w:rsidRDefault="00CD623E" w:rsidP="00CD623E">
            <w:pPr>
              <w:jc w:val="center"/>
              <w:rPr>
                <w:rFonts w:ascii="Times New Roman" w:hAnsi="Times New Roman"/>
                <w:sz w:val="24"/>
                <w:szCs w:val="24"/>
              </w:rPr>
            </w:pPr>
            <w:r>
              <w:rPr>
                <w:rFonts w:ascii="Times New Roman" w:hAnsi="Times New Roman"/>
                <w:sz w:val="24"/>
                <w:szCs w:val="24"/>
              </w:rPr>
              <w:t>.90</w:t>
            </w:r>
          </w:p>
        </w:tc>
        <w:tc>
          <w:tcPr>
            <w:tcW w:w="2574" w:type="dxa"/>
          </w:tcPr>
          <w:p w:rsidR="00CD623E" w:rsidRDefault="00CD623E" w:rsidP="00CD623E">
            <w:pPr>
              <w:jc w:val="center"/>
              <w:rPr>
                <w:rFonts w:ascii="Times New Roman" w:hAnsi="Times New Roman"/>
                <w:sz w:val="24"/>
                <w:szCs w:val="24"/>
              </w:rPr>
            </w:pPr>
            <w:r>
              <w:rPr>
                <w:rFonts w:ascii="Times New Roman" w:hAnsi="Times New Roman"/>
                <w:sz w:val="24"/>
                <w:szCs w:val="24"/>
              </w:rPr>
              <w:t>$36 acre</w:t>
            </w:r>
          </w:p>
        </w:tc>
      </w:tr>
      <w:tr w:rsidR="00CD623E" w:rsidTr="00CD623E">
        <w:tc>
          <w:tcPr>
            <w:tcW w:w="2574" w:type="dxa"/>
          </w:tcPr>
          <w:p w:rsidR="00CD623E" w:rsidRDefault="00CD623E" w:rsidP="00CD623E">
            <w:pPr>
              <w:jc w:val="center"/>
              <w:rPr>
                <w:rFonts w:ascii="Times New Roman" w:hAnsi="Times New Roman"/>
                <w:sz w:val="24"/>
                <w:szCs w:val="24"/>
              </w:rPr>
            </w:pPr>
            <w:r>
              <w:rPr>
                <w:rFonts w:ascii="Times New Roman" w:hAnsi="Times New Roman"/>
                <w:sz w:val="24"/>
                <w:szCs w:val="24"/>
              </w:rPr>
              <w:t>45 Bu.</w:t>
            </w:r>
          </w:p>
        </w:tc>
        <w:tc>
          <w:tcPr>
            <w:tcW w:w="2574" w:type="dxa"/>
          </w:tcPr>
          <w:p w:rsidR="00CD623E" w:rsidRDefault="00CD623E" w:rsidP="00CD623E">
            <w:pPr>
              <w:jc w:val="center"/>
              <w:rPr>
                <w:rFonts w:ascii="Times New Roman" w:hAnsi="Times New Roman"/>
                <w:sz w:val="24"/>
                <w:szCs w:val="24"/>
              </w:rPr>
            </w:pPr>
            <w:r>
              <w:rPr>
                <w:rFonts w:ascii="Times New Roman" w:hAnsi="Times New Roman"/>
                <w:sz w:val="24"/>
                <w:szCs w:val="24"/>
              </w:rPr>
              <w:t>.90</w:t>
            </w:r>
          </w:p>
        </w:tc>
        <w:tc>
          <w:tcPr>
            <w:tcW w:w="2574" w:type="dxa"/>
          </w:tcPr>
          <w:p w:rsidR="00CD623E" w:rsidRDefault="00CD623E" w:rsidP="00CD623E">
            <w:pPr>
              <w:jc w:val="center"/>
              <w:rPr>
                <w:rFonts w:ascii="Times New Roman" w:hAnsi="Times New Roman"/>
                <w:sz w:val="24"/>
                <w:szCs w:val="24"/>
              </w:rPr>
            </w:pPr>
            <w:r>
              <w:rPr>
                <w:rFonts w:ascii="Times New Roman" w:hAnsi="Times New Roman"/>
                <w:sz w:val="24"/>
                <w:szCs w:val="24"/>
              </w:rPr>
              <w:t>$41 acre</w:t>
            </w:r>
          </w:p>
        </w:tc>
      </w:tr>
    </w:tbl>
    <w:p w:rsidR="003E5B29" w:rsidRPr="003E5B29" w:rsidRDefault="003E5B29" w:rsidP="003E5B29">
      <w:pPr>
        <w:rPr>
          <w:rFonts w:ascii="Times New Roman" w:hAnsi="Times New Roman"/>
          <w:sz w:val="24"/>
          <w:szCs w:val="24"/>
        </w:rPr>
      </w:pPr>
    </w:p>
    <w:p w:rsidR="003E5B29" w:rsidRDefault="003E5B29" w:rsidP="003E5B29">
      <w:pPr>
        <w:rPr>
          <w:rFonts w:ascii="Times New Roman" w:hAnsi="Times New Roman"/>
          <w:sz w:val="24"/>
          <w:szCs w:val="24"/>
        </w:rPr>
      </w:pPr>
    </w:p>
    <w:p w:rsidR="003E5B29" w:rsidRPr="003E5B29" w:rsidRDefault="003E5B29" w:rsidP="003E5B29">
      <w:pPr>
        <w:rPr>
          <w:rFonts w:ascii="Times New Roman" w:hAnsi="Times New Roman"/>
          <w:sz w:val="24"/>
          <w:szCs w:val="24"/>
        </w:rPr>
      </w:pPr>
    </w:p>
    <w:p w:rsidR="003E5B29" w:rsidRPr="00843210" w:rsidRDefault="003E5B29" w:rsidP="00DD0DE4">
      <w:pPr>
        <w:jc w:val="left"/>
        <w:rPr>
          <w:rFonts w:ascii="Times New Roman" w:hAnsi="Times New Roman"/>
          <w:sz w:val="24"/>
          <w:szCs w:val="24"/>
        </w:rPr>
      </w:pPr>
    </w:p>
    <w:p w:rsidR="00862DC4" w:rsidRDefault="00862DC4" w:rsidP="00D86A91">
      <w:pPr>
        <w:jc w:val="left"/>
        <w:rPr>
          <w:rFonts w:ascii="Times New Roman" w:hAnsi="Times New Roman"/>
          <w:sz w:val="24"/>
          <w:szCs w:val="24"/>
        </w:rPr>
      </w:pPr>
    </w:p>
    <w:p w:rsidR="00862DC4" w:rsidRDefault="00862DC4" w:rsidP="00D86A91">
      <w:pPr>
        <w:jc w:val="left"/>
        <w:rPr>
          <w:rFonts w:ascii="Times New Roman" w:hAnsi="Times New Roman"/>
          <w:sz w:val="24"/>
          <w:szCs w:val="24"/>
        </w:rPr>
      </w:pPr>
    </w:p>
    <w:p w:rsidR="00862DC4" w:rsidRDefault="009F3F29" w:rsidP="00D86A91">
      <w:pPr>
        <w:jc w:val="left"/>
        <w:rPr>
          <w:rFonts w:ascii="Times New Roman" w:hAnsi="Times New Roman"/>
          <w:sz w:val="24"/>
          <w:szCs w:val="24"/>
        </w:rPr>
      </w:pPr>
      <w:r>
        <w:rPr>
          <w:rFonts w:ascii="Times New Roman" w:hAnsi="Times New Roman"/>
          <w:sz w:val="24"/>
          <w:szCs w:val="24"/>
        </w:rPr>
        <w:t xml:space="preserve">To determine the average proven yield for a specific area the BLM Realty Staff is encourage to contact the </w:t>
      </w:r>
      <w:proofErr w:type="spellStart"/>
      <w:r>
        <w:rPr>
          <w:rFonts w:ascii="Times New Roman" w:hAnsi="Times New Roman"/>
          <w:sz w:val="24"/>
          <w:szCs w:val="24"/>
        </w:rPr>
        <w:t>leasee</w:t>
      </w:r>
      <w:proofErr w:type="spellEnd"/>
      <w:r>
        <w:rPr>
          <w:rFonts w:ascii="Times New Roman" w:hAnsi="Times New Roman"/>
          <w:sz w:val="24"/>
          <w:szCs w:val="24"/>
        </w:rPr>
        <w:t xml:space="preserve"> first, then verify the information with the local USDA Farm Service Agency and/or the local county extension agent. Both of these resources are an excellent in determining and confirming proven yield rates.</w:t>
      </w:r>
    </w:p>
    <w:p w:rsidR="00862DC4" w:rsidRDefault="00862DC4" w:rsidP="00D86A91">
      <w:pPr>
        <w:jc w:val="left"/>
        <w:rPr>
          <w:rFonts w:ascii="Times New Roman" w:hAnsi="Times New Roman"/>
          <w:sz w:val="24"/>
          <w:szCs w:val="24"/>
        </w:rPr>
      </w:pPr>
    </w:p>
    <w:p w:rsidR="00784F75" w:rsidRDefault="00D86A91" w:rsidP="009F3F29">
      <w:pPr>
        <w:jc w:val="left"/>
        <w:rPr>
          <w:rFonts w:ascii="Times New Roman" w:hAnsi="Times New Roman"/>
          <w:sz w:val="24"/>
          <w:szCs w:val="24"/>
        </w:rPr>
      </w:pPr>
      <w:r>
        <w:rPr>
          <w:rFonts w:ascii="Times New Roman" w:hAnsi="Times New Roman"/>
          <w:sz w:val="24"/>
          <w:szCs w:val="24"/>
        </w:rPr>
        <w:t xml:space="preserve">Anytime there is an unusual situation or questions arise that fall outside the </w:t>
      </w:r>
      <w:r w:rsidRPr="006842A5">
        <w:rPr>
          <w:rFonts w:ascii="Times New Roman" w:hAnsi="Times New Roman"/>
          <w:sz w:val="24"/>
          <w:szCs w:val="24"/>
        </w:rPr>
        <w:t>Minimum Rental Analysis – Land Use Authorizations</w:t>
      </w:r>
      <w:r>
        <w:rPr>
          <w:rFonts w:ascii="Times New Roman" w:hAnsi="Times New Roman"/>
          <w:sz w:val="24"/>
          <w:szCs w:val="24"/>
        </w:rPr>
        <w:t xml:space="preserve"> for </w:t>
      </w:r>
      <w:r w:rsidRPr="007454DB">
        <w:rPr>
          <w:rFonts w:ascii="Times New Roman" w:hAnsi="Times New Roman"/>
          <w:sz w:val="24"/>
          <w:szCs w:val="24"/>
        </w:rPr>
        <w:t>Non Linear Rights of Way (R/W) Rental</w:t>
      </w:r>
      <w:r>
        <w:rPr>
          <w:rFonts w:ascii="Times New Roman" w:hAnsi="Times New Roman"/>
          <w:sz w:val="24"/>
          <w:szCs w:val="24"/>
        </w:rPr>
        <w:t xml:space="preserve">, or this supplemental memorandum, contact </w:t>
      </w:r>
      <w:r w:rsidR="0049511F">
        <w:rPr>
          <w:rFonts w:ascii="Times New Roman" w:hAnsi="Times New Roman"/>
          <w:sz w:val="24"/>
          <w:szCs w:val="24"/>
        </w:rPr>
        <w:t xml:space="preserve">Tim Hansen, Client Service Manager, </w:t>
      </w:r>
      <w:r>
        <w:rPr>
          <w:rFonts w:ascii="Times New Roman" w:hAnsi="Times New Roman"/>
          <w:sz w:val="24"/>
          <w:szCs w:val="24"/>
        </w:rPr>
        <w:t xml:space="preserve">the Office of Valuation </w:t>
      </w:r>
      <w:r w:rsidR="0049511F">
        <w:rPr>
          <w:rFonts w:ascii="Times New Roman" w:hAnsi="Times New Roman"/>
          <w:sz w:val="24"/>
          <w:szCs w:val="24"/>
        </w:rPr>
        <w:t>Services-</w:t>
      </w:r>
      <w:r>
        <w:rPr>
          <w:rFonts w:ascii="Times New Roman" w:hAnsi="Times New Roman"/>
          <w:sz w:val="24"/>
          <w:szCs w:val="24"/>
        </w:rPr>
        <w:t>BLM Team</w:t>
      </w:r>
      <w:r w:rsidR="0049511F">
        <w:rPr>
          <w:rFonts w:ascii="Times New Roman" w:hAnsi="Times New Roman"/>
          <w:sz w:val="24"/>
          <w:szCs w:val="24"/>
        </w:rPr>
        <w:t xml:space="preserve"> at 303-969-5368 or email: </w:t>
      </w:r>
      <w:hyperlink r:id="rId15" w:history="1">
        <w:r w:rsidR="005A0128" w:rsidRPr="00AD37A8">
          <w:rPr>
            <w:rStyle w:val="Hyperlink"/>
            <w:rFonts w:ascii="Times New Roman" w:hAnsi="Times New Roman"/>
            <w:sz w:val="24"/>
            <w:szCs w:val="24"/>
          </w:rPr>
          <w:t>timothy_hansen@ios.doi.gov</w:t>
        </w:r>
      </w:hyperlink>
      <w:r>
        <w:rPr>
          <w:rFonts w:ascii="Times New Roman" w:hAnsi="Times New Roman"/>
          <w:sz w:val="24"/>
          <w:szCs w:val="24"/>
        </w:rPr>
        <w:t>.</w:t>
      </w:r>
    </w:p>
    <w:p w:rsidR="005A0128" w:rsidRDefault="005A0128" w:rsidP="005A0128">
      <w:pPr>
        <w:jc w:val="right"/>
      </w:pPr>
      <w:r>
        <w:rPr>
          <w:rFonts w:ascii="Times New Roman" w:hAnsi="Times New Roman"/>
          <w:sz w:val="24"/>
          <w:szCs w:val="24"/>
        </w:rPr>
        <w:t>Attachment 2-5</w:t>
      </w:r>
    </w:p>
    <w:sectPr w:rsidR="005A0128" w:rsidSect="001D1E47">
      <w:headerReference w:type="default" r:id="rId16"/>
      <w:pgSz w:w="12240" w:h="15840"/>
      <w:pgMar w:top="1080" w:right="1080" w:bottom="1440" w:left="1080" w:header="90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0C9" w:rsidRDefault="004160C9">
      <w:r>
        <w:separator/>
      </w:r>
    </w:p>
  </w:endnote>
  <w:endnote w:type="continuationSeparator" w:id="0">
    <w:p w:rsidR="004160C9" w:rsidRDefault="0041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0C9" w:rsidRDefault="004160C9">
      <w:r>
        <w:separator/>
      </w:r>
    </w:p>
  </w:footnote>
  <w:footnote w:type="continuationSeparator" w:id="0">
    <w:p w:rsidR="004160C9" w:rsidRDefault="004160C9">
      <w:r>
        <w:continuationSeparator/>
      </w:r>
    </w:p>
  </w:footnote>
  <w:footnote w:id="1">
    <w:p w:rsidR="005D26F8" w:rsidRDefault="005D26F8" w:rsidP="005A0128">
      <w:pPr>
        <w:pStyle w:val="FootnoteText"/>
        <w:jc w:val="left"/>
      </w:pPr>
      <w:r>
        <w:rPr>
          <w:rStyle w:val="FootnoteReference"/>
        </w:rPr>
        <w:footnoteRef/>
      </w:r>
      <w:r>
        <w:t xml:space="preserve"> Wikipedia</w:t>
      </w:r>
      <w:r w:rsidR="005A0128">
        <w:tab/>
      </w:r>
      <w:r w:rsidR="005A0128">
        <w:tab/>
      </w:r>
      <w:r w:rsidR="005A0128">
        <w:tab/>
      </w:r>
      <w:r w:rsidR="005A0128">
        <w:tab/>
      </w:r>
      <w:r w:rsidR="005A0128">
        <w:tab/>
      </w:r>
      <w:r w:rsidR="005A0128">
        <w:tab/>
      </w:r>
      <w:r w:rsidR="005A0128">
        <w:tab/>
      </w:r>
      <w:r w:rsidR="005A0128">
        <w:tab/>
      </w:r>
      <w:r w:rsidR="005A0128">
        <w:tab/>
      </w:r>
      <w:r w:rsidR="005A0128">
        <w:tab/>
      </w:r>
      <w:r w:rsidR="005A0128">
        <w:tab/>
      </w:r>
      <w:r w:rsidR="005A0128" w:rsidRPr="005A0128">
        <w:rPr>
          <w:rFonts w:ascii="Times New Roman" w:hAnsi="Times New Roman"/>
          <w:sz w:val="24"/>
          <w:szCs w:val="24"/>
        </w:rPr>
        <w:t>Attachment 2-2</w:t>
      </w:r>
    </w:p>
  </w:footnote>
  <w:footnote w:id="2">
    <w:p w:rsidR="005173E5" w:rsidRDefault="005173E5">
      <w:pPr>
        <w:pStyle w:val="FootnoteText"/>
      </w:pPr>
      <w:r>
        <w:rPr>
          <w:rStyle w:val="FootnoteReference"/>
        </w:rPr>
        <w:footnoteRef/>
      </w:r>
      <w:r>
        <w:t xml:space="preserve"> National Agricultural Statistics Service, US </w:t>
      </w:r>
      <w:proofErr w:type="spellStart"/>
      <w:r>
        <w:t>Dept</w:t>
      </w:r>
      <w:proofErr w:type="spellEnd"/>
      <w:r>
        <w:t xml:space="preserve"> of Agriculture March 21, 2014</w:t>
      </w:r>
      <w:r w:rsidR="005A0128">
        <w:tab/>
      </w:r>
      <w:r w:rsidR="005A0128">
        <w:tab/>
      </w:r>
      <w:r w:rsidR="005A0128">
        <w:tab/>
      </w:r>
      <w:r w:rsidR="005A0128" w:rsidRPr="005A0128">
        <w:rPr>
          <w:rFonts w:ascii="Times New Roman" w:hAnsi="Times New Roman"/>
          <w:sz w:val="24"/>
          <w:szCs w:val="24"/>
        </w:rPr>
        <w:t>Attachment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1E0" w:firstRow="1" w:lastRow="1" w:firstColumn="1" w:lastColumn="1" w:noHBand="0" w:noVBand="0"/>
    </w:tblPr>
    <w:tblGrid>
      <w:gridCol w:w="2389"/>
      <w:gridCol w:w="5517"/>
      <w:gridCol w:w="2390"/>
    </w:tblGrid>
    <w:tr w:rsidR="00F27BF5" w:rsidRPr="00A13F55" w:rsidTr="003034CB">
      <w:trPr>
        <w:trHeight w:val="2790"/>
      </w:trPr>
      <w:tc>
        <w:tcPr>
          <w:tcW w:w="1872" w:type="dxa"/>
          <w:vAlign w:val="center"/>
        </w:tcPr>
        <w:p w:rsidR="00F27BF5" w:rsidRDefault="006842A5" w:rsidP="00F85A66">
          <w:pPr>
            <w:pStyle w:val="Header"/>
            <w:jc w:val="left"/>
          </w:pPr>
          <w:r>
            <w:rPr>
              <w:noProof/>
            </w:rPr>
            <w:drawing>
              <wp:anchor distT="0" distB="0" distL="114300" distR="114300" simplePos="0" relativeHeight="251658752" behindDoc="0" locked="0" layoutInCell="1" allowOverlap="1" wp14:anchorId="12764C83" wp14:editId="5F61ECCB">
                <wp:simplePos x="0" y="0"/>
                <wp:positionH relativeFrom="column">
                  <wp:posOffset>0</wp:posOffset>
                </wp:positionH>
                <wp:positionV relativeFrom="paragraph">
                  <wp:posOffset>-1039495</wp:posOffset>
                </wp:positionV>
                <wp:extent cx="1266825" cy="1257300"/>
                <wp:effectExtent l="0" t="0" r="0" b="0"/>
                <wp:wrapSquare wrapText="bothSides"/>
                <wp:docPr id="2" name="Picture 2" descr="NBC_official_doi_letter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BC_official_doi_letterhea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7BF5" w:rsidRPr="00A13F55" w:rsidRDefault="00F27BF5" w:rsidP="00F85A66">
          <w:pPr>
            <w:pStyle w:val="Header"/>
            <w:jc w:val="left"/>
          </w:pPr>
        </w:p>
      </w:tc>
      <w:tc>
        <w:tcPr>
          <w:tcW w:w="4322" w:type="dxa"/>
          <w:vAlign w:val="center"/>
        </w:tcPr>
        <w:p w:rsidR="00F27BF5" w:rsidRPr="00F85A66" w:rsidRDefault="00F27BF5" w:rsidP="00F85A66">
          <w:pPr>
            <w:pStyle w:val="Header"/>
            <w:spacing w:before="120"/>
            <w:jc w:val="center"/>
            <w:rPr>
              <w:rFonts w:ascii="Times New Roman" w:hAnsi="Times New Roman"/>
              <w:b/>
              <w:color w:val="003D7D"/>
              <w:spacing w:val="5"/>
              <w:sz w:val="26"/>
              <w:szCs w:val="26"/>
            </w:rPr>
          </w:pPr>
          <w:r w:rsidRPr="00F85A66">
            <w:rPr>
              <w:rFonts w:ascii="Times New Roman" w:hAnsi="Times New Roman"/>
              <w:b/>
              <w:color w:val="003D7D"/>
              <w:spacing w:val="5"/>
              <w:sz w:val="26"/>
              <w:szCs w:val="26"/>
            </w:rPr>
            <w:t>United States Department of the Interior</w:t>
          </w:r>
        </w:p>
        <w:p w:rsidR="00F27BF5" w:rsidRPr="00F27BF5" w:rsidRDefault="00F27BF5" w:rsidP="00F85A66">
          <w:pPr>
            <w:pStyle w:val="Header"/>
            <w:keepLines/>
            <w:spacing w:before="120"/>
            <w:jc w:val="center"/>
            <w:rPr>
              <w:rFonts w:ascii="Times New Roman" w:hAnsi="Times New Roman"/>
              <w:color w:val="003D7D"/>
              <w:spacing w:val="5"/>
              <w:sz w:val="24"/>
              <w:szCs w:val="24"/>
            </w:rPr>
          </w:pPr>
          <w:r w:rsidRPr="00F27BF5">
            <w:rPr>
              <w:rFonts w:ascii="Times New Roman" w:hAnsi="Times New Roman"/>
              <w:color w:val="003D7D"/>
              <w:spacing w:val="5"/>
              <w:sz w:val="24"/>
              <w:szCs w:val="24"/>
            </w:rPr>
            <w:t>Office of Valuation Services</w:t>
          </w:r>
        </w:p>
        <w:p w:rsidR="00F27BF5" w:rsidRDefault="003034CB" w:rsidP="00F85A66">
          <w:pPr>
            <w:pStyle w:val="Header"/>
            <w:keepLines/>
            <w:spacing w:before="120"/>
            <w:jc w:val="center"/>
            <w:rPr>
              <w:rFonts w:ascii="Times New Roman" w:hAnsi="Times New Roman"/>
              <w:color w:val="003D7D"/>
              <w:spacing w:val="5"/>
            </w:rPr>
          </w:pPr>
          <w:r>
            <w:rPr>
              <w:rFonts w:ascii="Times New Roman" w:hAnsi="Times New Roman"/>
              <w:color w:val="003D7D"/>
              <w:spacing w:val="5"/>
            </w:rPr>
            <w:t>2602 1</w:t>
          </w:r>
          <w:r w:rsidRPr="003034CB">
            <w:rPr>
              <w:rFonts w:ascii="Times New Roman" w:hAnsi="Times New Roman"/>
              <w:color w:val="003D7D"/>
              <w:spacing w:val="5"/>
              <w:vertAlign w:val="superscript"/>
            </w:rPr>
            <w:t>st</w:t>
          </w:r>
          <w:r>
            <w:rPr>
              <w:rFonts w:ascii="Times New Roman" w:hAnsi="Times New Roman"/>
              <w:color w:val="003D7D"/>
              <w:spacing w:val="5"/>
            </w:rPr>
            <w:t xml:space="preserve"> Ave. North, Room 329</w:t>
          </w:r>
        </w:p>
        <w:p w:rsidR="003034CB" w:rsidRDefault="003034CB" w:rsidP="00F85A66">
          <w:pPr>
            <w:pStyle w:val="Header"/>
            <w:keepLines/>
            <w:spacing w:before="120"/>
            <w:jc w:val="center"/>
            <w:rPr>
              <w:rFonts w:ascii="Times New Roman" w:hAnsi="Times New Roman"/>
              <w:color w:val="003D7D"/>
              <w:spacing w:val="5"/>
            </w:rPr>
          </w:pPr>
          <w:r>
            <w:rPr>
              <w:rFonts w:ascii="Times New Roman" w:hAnsi="Times New Roman"/>
              <w:color w:val="003D7D"/>
              <w:spacing w:val="5"/>
            </w:rPr>
            <w:t>PO Box 561</w:t>
          </w:r>
        </w:p>
        <w:p w:rsidR="003034CB" w:rsidRDefault="003034CB" w:rsidP="00F85A66">
          <w:pPr>
            <w:pStyle w:val="Header"/>
            <w:keepLines/>
            <w:spacing w:before="120"/>
            <w:jc w:val="center"/>
            <w:rPr>
              <w:rFonts w:ascii="Times New Roman" w:hAnsi="Times New Roman"/>
              <w:color w:val="003D7D"/>
              <w:spacing w:val="5"/>
            </w:rPr>
          </w:pPr>
          <w:r>
            <w:rPr>
              <w:rFonts w:ascii="Times New Roman" w:hAnsi="Times New Roman"/>
              <w:color w:val="003D7D"/>
              <w:spacing w:val="5"/>
            </w:rPr>
            <w:t>Billings, Mt. 59101</w:t>
          </w:r>
        </w:p>
        <w:p w:rsidR="003034CB" w:rsidRPr="00F85A66" w:rsidRDefault="003034CB" w:rsidP="00F85A66">
          <w:pPr>
            <w:pStyle w:val="Header"/>
            <w:keepLines/>
            <w:spacing w:before="120"/>
            <w:jc w:val="center"/>
            <w:rPr>
              <w:rFonts w:ascii="Times New Roman" w:hAnsi="Times New Roman"/>
              <w:color w:val="003D7D"/>
              <w:spacing w:val="5"/>
            </w:rPr>
          </w:pPr>
          <w:r>
            <w:rPr>
              <w:rFonts w:ascii="Times New Roman" w:hAnsi="Times New Roman"/>
              <w:color w:val="003D7D"/>
              <w:spacing w:val="5"/>
            </w:rPr>
            <w:t>(406) 657-6356</w:t>
          </w:r>
        </w:p>
        <w:p w:rsidR="00F27BF5" w:rsidRPr="00F85A66" w:rsidRDefault="00F27BF5" w:rsidP="003034CB">
          <w:pPr>
            <w:pStyle w:val="Header"/>
            <w:keepLines/>
            <w:spacing w:before="120"/>
            <w:rPr>
              <w:rFonts w:ascii="Times New Roman" w:hAnsi="Times New Roman"/>
              <w:color w:val="003D7D"/>
              <w:spacing w:val="5"/>
              <w:sz w:val="16"/>
              <w:szCs w:val="16"/>
            </w:rPr>
          </w:pPr>
        </w:p>
      </w:tc>
      <w:tc>
        <w:tcPr>
          <w:tcW w:w="1872" w:type="dxa"/>
          <w:vAlign w:val="center"/>
        </w:tcPr>
        <w:p w:rsidR="00F27BF5" w:rsidRPr="00A13F55" w:rsidRDefault="00F27BF5" w:rsidP="00F85A66">
          <w:pPr>
            <w:pStyle w:val="Header"/>
            <w:jc w:val="right"/>
          </w:pPr>
        </w:p>
      </w:tc>
    </w:tr>
  </w:tbl>
  <w:p w:rsidR="00F27BF5" w:rsidRDefault="00F27B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42C2"/>
    <w:multiLevelType w:val="hybridMultilevel"/>
    <w:tmpl w:val="CF020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33F8B"/>
    <w:multiLevelType w:val="hybridMultilevel"/>
    <w:tmpl w:val="846E0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2D6F82"/>
    <w:multiLevelType w:val="hybridMultilevel"/>
    <w:tmpl w:val="344EE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90"/>
    <w:rsid w:val="000C2531"/>
    <w:rsid w:val="000F187D"/>
    <w:rsid w:val="00134AD9"/>
    <w:rsid w:val="00147079"/>
    <w:rsid w:val="0017005D"/>
    <w:rsid w:val="001B0D3E"/>
    <w:rsid w:val="001D1E47"/>
    <w:rsid w:val="002156BD"/>
    <w:rsid w:val="002A6DC8"/>
    <w:rsid w:val="003034CB"/>
    <w:rsid w:val="00313CF8"/>
    <w:rsid w:val="003462F8"/>
    <w:rsid w:val="00361A9C"/>
    <w:rsid w:val="003E5B29"/>
    <w:rsid w:val="00410B81"/>
    <w:rsid w:val="004160C9"/>
    <w:rsid w:val="00431AD8"/>
    <w:rsid w:val="0049511F"/>
    <w:rsid w:val="004E2CE8"/>
    <w:rsid w:val="005173E5"/>
    <w:rsid w:val="00520190"/>
    <w:rsid w:val="00562FA2"/>
    <w:rsid w:val="00575C22"/>
    <w:rsid w:val="005A0128"/>
    <w:rsid w:val="005D26F8"/>
    <w:rsid w:val="005E18B1"/>
    <w:rsid w:val="006059C6"/>
    <w:rsid w:val="006712AD"/>
    <w:rsid w:val="006842A5"/>
    <w:rsid w:val="006C422C"/>
    <w:rsid w:val="006F2E3D"/>
    <w:rsid w:val="0070223C"/>
    <w:rsid w:val="00784F75"/>
    <w:rsid w:val="00843210"/>
    <w:rsid w:val="00850500"/>
    <w:rsid w:val="00862DC4"/>
    <w:rsid w:val="008661B6"/>
    <w:rsid w:val="00893463"/>
    <w:rsid w:val="008F2369"/>
    <w:rsid w:val="0091748B"/>
    <w:rsid w:val="00945AE5"/>
    <w:rsid w:val="009F3F29"/>
    <w:rsid w:val="00A22C01"/>
    <w:rsid w:val="00A467A9"/>
    <w:rsid w:val="00A50BFB"/>
    <w:rsid w:val="00A55C7D"/>
    <w:rsid w:val="00A9671F"/>
    <w:rsid w:val="00AC5159"/>
    <w:rsid w:val="00AD66B1"/>
    <w:rsid w:val="00AE0D13"/>
    <w:rsid w:val="00B4795B"/>
    <w:rsid w:val="00B55355"/>
    <w:rsid w:val="00B97CA0"/>
    <w:rsid w:val="00BA05FB"/>
    <w:rsid w:val="00C77AD3"/>
    <w:rsid w:val="00C853C4"/>
    <w:rsid w:val="00CD623E"/>
    <w:rsid w:val="00CF6EA2"/>
    <w:rsid w:val="00D10DB7"/>
    <w:rsid w:val="00D7190F"/>
    <w:rsid w:val="00D86A91"/>
    <w:rsid w:val="00D86CD5"/>
    <w:rsid w:val="00D954CB"/>
    <w:rsid w:val="00DC2493"/>
    <w:rsid w:val="00DD0DE4"/>
    <w:rsid w:val="00E13CA5"/>
    <w:rsid w:val="00E23549"/>
    <w:rsid w:val="00E23CE0"/>
    <w:rsid w:val="00E544B9"/>
    <w:rsid w:val="00E71A9A"/>
    <w:rsid w:val="00ED5BEF"/>
    <w:rsid w:val="00F27BF5"/>
    <w:rsid w:val="00F85A66"/>
    <w:rsid w:val="00FC47D4"/>
    <w:rsid w:val="00FE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190"/>
    <w:pPr>
      <w:jc w:val="both"/>
    </w:pPr>
    <w:rPr>
      <w:rFonts w:ascii="Arial" w:hAnsi="Arial"/>
      <w:spacing w:val="-5"/>
    </w:rPr>
  </w:style>
  <w:style w:type="paragraph" w:styleId="Heading1">
    <w:name w:val="heading 1"/>
    <w:basedOn w:val="Normal"/>
    <w:next w:val="Normal"/>
    <w:link w:val="Heading1Char"/>
    <w:qFormat/>
    <w:rsid w:val="001D1E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8661B6"/>
    <w:pPr>
      <w:keepNext/>
      <w:widowControl w:val="0"/>
      <w:autoSpaceDE w:val="0"/>
      <w:autoSpaceDN w:val="0"/>
      <w:adjustRightInd w:val="0"/>
      <w:spacing w:before="240" w:after="60"/>
      <w:jc w:val="left"/>
      <w:outlineLvl w:val="2"/>
    </w:pPr>
    <w:rPr>
      <w:rFonts w:cs="Arial"/>
      <w:b/>
      <w:bCs/>
      <w:spacing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0190"/>
    <w:pPr>
      <w:tabs>
        <w:tab w:val="center" w:pos="4320"/>
        <w:tab w:val="right" w:pos="8640"/>
      </w:tabs>
    </w:pPr>
  </w:style>
  <w:style w:type="table" w:styleId="TableGrid">
    <w:name w:val="Table Grid"/>
    <w:basedOn w:val="TableNormal"/>
    <w:rsid w:val="0052019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20190"/>
    <w:pPr>
      <w:tabs>
        <w:tab w:val="center" w:pos="4320"/>
        <w:tab w:val="right" w:pos="8640"/>
      </w:tabs>
    </w:pPr>
  </w:style>
  <w:style w:type="paragraph" w:styleId="ListParagraph">
    <w:name w:val="List Paragraph"/>
    <w:basedOn w:val="Normal"/>
    <w:uiPriority w:val="34"/>
    <w:qFormat/>
    <w:rsid w:val="00E23CE0"/>
    <w:pPr>
      <w:spacing w:after="200" w:line="276" w:lineRule="auto"/>
      <w:ind w:left="720"/>
      <w:contextualSpacing/>
      <w:jc w:val="left"/>
    </w:pPr>
    <w:rPr>
      <w:rFonts w:asciiTheme="minorHAnsi" w:eastAsiaTheme="minorHAnsi" w:hAnsiTheme="minorHAnsi" w:cstheme="minorBidi"/>
      <w:spacing w:val="0"/>
      <w:sz w:val="22"/>
      <w:szCs w:val="22"/>
    </w:rPr>
  </w:style>
  <w:style w:type="paragraph" w:styleId="BalloonText">
    <w:name w:val="Balloon Text"/>
    <w:basedOn w:val="Normal"/>
    <w:link w:val="BalloonTextChar"/>
    <w:rsid w:val="00B97CA0"/>
    <w:rPr>
      <w:rFonts w:ascii="Tahoma" w:hAnsi="Tahoma" w:cs="Tahoma"/>
      <w:sz w:val="16"/>
      <w:szCs w:val="16"/>
    </w:rPr>
  </w:style>
  <w:style w:type="character" w:customStyle="1" w:styleId="BalloonTextChar">
    <w:name w:val="Balloon Text Char"/>
    <w:basedOn w:val="DefaultParagraphFont"/>
    <w:link w:val="BalloonText"/>
    <w:rsid w:val="00B97CA0"/>
    <w:rPr>
      <w:rFonts w:ascii="Tahoma" w:hAnsi="Tahoma" w:cs="Tahoma"/>
      <w:spacing w:val="-5"/>
      <w:sz w:val="16"/>
      <w:szCs w:val="16"/>
    </w:rPr>
  </w:style>
  <w:style w:type="character" w:customStyle="1" w:styleId="Heading3Char">
    <w:name w:val="Heading 3 Char"/>
    <w:basedOn w:val="DefaultParagraphFont"/>
    <w:link w:val="Heading3"/>
    <w:rsid w:val="008661B6"/>
    <w:rPr>
      <w:rFonts w:ascii="Arial" w:hAnsi="Arial" w:cs="Arial"/>
      <w:b/>
      <w:bCs/>
      <w:sz w:val="26"/>
      <w:szCs w:val="26"/>
    </w:rPr>
  </w:style>
  <w:style w:type="character" w:styleId="Hyperlink">
    <w:name w:val="Hyperlink"/>
    <w:basedOn w:val="DefaultParagraphFont"/>
    <w:uiPriority w:val="99"/>
    <w:unhideWhenUsed/>
    <w:rsid w:val="005D26F8"/>
    <w:rPr>
      <w:color w:val="0000FF"/>
      <w:u w:val="single"/>
    </w:rPr>
  </w:style>
  <w:style w:type="paragraph" w:styleId="NormalWeb">
    <w:name w:val="Normal (Web)"/>
    <w:basedOn w:val="Normal"/>
    <w:uiPriority w:val="99"/>
    <w:unhideWhenUsed/>
    <w:rsid w:val="005D26F8"/>
    <w:pPr>
      <w:spacing w:before="100" w:beforeAutospacing="1" w:after="100" w:afterAutospacing="1"/>
      <w:jc w:val="left"/>
    </w:pPr>
    <w:rPr>
      <w:rFonts w:ascii="Times New Roman" w:hAnsi="Times New Roman"/>
      <w:spacing w:val="0"/>
      <w:sz w:val="24"/>
      <w:szCs w:val="24"/>
    </w:rPr>
  </w:style>
  <w:style w:type="paragraph" w:styleId="FootnoteText">
    <w:name w:val="footnote text"/>
    <w:basedOn w:val="Normal"/>
    <w:link w:val="FootnoteTextChar"/>
    <w:rsid w:val="005D26F8"/>
  </w:style>
  <w:style w:type="character" w:customStyle="1" w:styleId="FootnoteTextChar">
    <w:name w:val="Footnote Text Char"/>
    <w:basedOn w:val="DefaultParagraphFont"/>
    <w:link w:val="FootnoteText"/>
    <w:rsid w:val="005D26F8"/>
    <w:rPr>
      <w:rFonts w:ascii="Arial" w:hAnsi="Arial"/>
      <w:spacing w:val="-5"/>
    </w:rPr>
  </w:style>
  <w:style w:type="character" w:styleId="FootnoteReference">
    <w:name w:val="footnote reference"/>
    <w:basedOn w:val="DefaultParagraphFont"/>
    <w:rsid w:val="005D26F8"/>
    <w:rPr>
      <w:vertAlign w:val="superscript"/>
    </w:rPr>
  </w:style>
  <w:style w:type="character" w:customStyle="1" w:styleId="Heading1Char">
    <w:name w:val="Heading 1 Char"/>
    <w:basedOn w:val="DefaultParagraphFont"/>
    <w:link w:val="Heading1"/>
    <w:rsid w:val="001D1E47"/>
    <w:rPr>
      <w:rFonts w:asciiTheme="majorHAnsi" w:eastAsiaTheme="majorEastAsia" w:hAnsiTheme="majorHAnsi" w:cstheme="majorBidi"/>
      <w:color w:val="365F91" w:themeColor="accent1" w:themeShade="BF"/>
      <w:spacing w:val="-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190"/>
    <w:pPr>
      <w:jc w:val="both"/>
    </w:pPr>
    <w:rPr>
      <w:rFonts w:ascii="Arial" w:hAnsi="Arial"/>
      <w:spacing w:val="-5"/>
    </w:rPr>
  </w:style>
  <w:style w:type="paragraph" w:styleId="Heading1">
    <w:name w:val="heading 1"/>
    <w:basedOn w:val="Normal"/>
    <w:next w:val="Normal"/>
    <w:link w:val="Heading1Char"/>
    <w:qFormat/>
    <w:rsid w:val="001D1E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8661B6"/>
    <w:pPr>
      <w:keepNext/>
      <w:widowControl w:val="0"/>
      <w:autoSpaceDE w:val="0"/>
      <w:autoSpaceDN w:val="0"/>
      <w:adjustRightInd w:val="0"/>
      <w:spacing w:before="240" w:after="60"/>
      <w:jc w:val="left"/>
      <w:outlineLvl w:val="2"/>
    </w:pPr>
    <w:rPr>
      <w:rFonts w:cs="Arial"/>
      <w:b/>
      <w:bCs/>
      <w:spacing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0190"/>
    <w:pPr>
      <w:tabs>
        <w:tab w:val="center" w:pos="4320"/>
        <w:tab w:val="right" w:pos="8640"/>
      </w:tabs>
    </w:pPr>
  </w:style>
  <w:style w:type="table" w:styleId="TableGrid">
    <w:name w:val="Table Grid"/>
    <w:basedOn w:val="TableNormal"/>
    <w:rsid w:val="0052019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20190"/>
    <w:pPr>
      <w:tabs>
        <w:tab w:val="center" w:pos="4320"/>
        <w:tab w:val="right" w:pos="8640"/>
      </w:tabs>
    </w:pPr>
  </w:style>
  <w:style w:type="paragraph" w:styleId="ListParagraph">
    <w:name w:val="List Paragraph"/>
    <w:basedOn w:val="Normal"/>
    <w:uiPriority w:val="34"/>
    <w:qFormat/>
    <w:rsid w:val="00E23CE0"/>
    <w:pPr>
      <w:spacing w:after="200" w:line="276" w:lineRule="auto"/>
      <w:ind w:left="720"/>
      <w:contextualSpacing/>
      <w:jc w:val="left"/>
    </w:pPr>
    <w:rPr>
      <w:rFonts w:asciiTheme="minorHAnsi" w:eastAsiaTheme="minorHAnsi" w:hAnsiTheme="minorHAnsi" w:cstheme="minorBidi"/>
      <w:spacing w:val="0"/>
      <w:sz w:val="22"/>
      <w:szCs w:val="22"/>
    </w:rPr>
  </w:style>
  <w:style w:type="paragraph" w:styleId="BalloonText">
    <w:name w:val="Balloon Text"/>
    <w:basedOn w:val="Normal"/>
    <w:link w:val="BalloonTextChar"/>
    <w:rsid w:val="00B97CA0"/>
    <w:rPr>
      <w:rFonts w:ascii="Tahoma" w:hAnsi="Tahoma" w:cs="Tahoma"/>
      <w:sz w:val="16"/>
      <w:szCs w:val="16"/>
    </w:rPr>
  </w:style>
  <w:style w:type="character" w:customStyle="1" w:styleId="BalloonTextChar">
    <w:name w:val="Balloon Text Char"/>
    <w:basedOn w:val="DefaultParagraphFont"/>
    <w:link w:val="BalloonText"/>
    <w:rsid w:val="00B97CA0"/>
    <w:rPr>
      <w:rFonts w:ascii="Tahoma" w:hAnsi="Tahoma" w:cs="Tahoma"/>
      <w:spacing w:val="-5"/>
      <w:sz w:val="16"/>
      <w:szCs w:val="16"/>
    </w:rPr>
  </w:style>
  <w:style w:type="character" w:customStyle="1" w:styleId="Heading3Char">
    <w:name w:val="Heading 3 Char"/>
    <w:basedOn w:val="DefaultParagraphFont"/>
    <w:link w:val="Heading3"/>
    <w:rsid w:val="008661B6"/>
    <w:rPr>
      <w:rFonts w:ascii="Arial" w:hAnsi="Arial" w:cs="Arial"/>
      <w:b/>
      <w:bCs/>
      <w:sz w:val="26"/>
      <w:szCs w:val="26"/>
    </w:rPr>
  </w:style>
  <w:style w:type="character" w:styleId="Hyperlink">
    <w:name w:val="Hyperlink"/>
    <w:basedOn w:val="DefaultParagraphFont"/>
    <w:uiPriority w:val="99"/>
    <w:unhideWhenUsed/>
    <w:rsid w:val="005D26F8"/>
    <w:rPr>
      <w:color w:val="0000FF"/>
      <w:u w:val="single"/>
    </w:rPr>
  </w:style>
  <w:style w:type="paragraph" w:styleId="NormalWeb">
    <w:name w:val="Normal (Web)"/>
    <w:basedOn w:val="Normal"/>
    <w:uiPriority w:val="99"/>
    <w:unhideWhenUsed/>
    <w:rsid w:val="005D26F8"/>
    <w:pPr>
      <w:spacing w:before="100" w:beforeAutospacing="1" w:after="100" w:afterAutospacing="1"/>
      <w:jc w:val="left"/>
    </w:pPr>
    <w:rPr>
      <w:rFonts w:ascii="Times New Roman" w:hAnsi="Times New Roman"/>
      <w:spacing w:val="0"/>
      <w:sz w:val="24"/>
      <w:szCs w:val="24"/>
    </w:rPr>
  </w:style>
  <w:style w:type="paragraph" w:styleId="FootnoteText">
    <w:name w:val="footnote text"/>
    <w:basedOn w:val="Normal"/>
    <w:link w:val="FootnoteTextChar"/>
    <w:rsid w:val="005D26F8"/>
  </w:style>
  <w:style w:type="character" w:customStyle="1" w:styleId="FootnoteTextChar">
    <w:name w:val="Footnote Text Char"/>
    <w:basedOn w:val="DefaultParagraphFont"/>
    <w:link w:val="FootnoteText"/>
    <w:rsid w:val="005D26F8"/>
    <w:rPr>
      <w:rFonts w:ascii="Arial" w:hAnsi="Arial"/>
      <w:spacing w:val="-5"/>
    </w:rPr>
  </w:style>
  <w:style w:type="character" w:styleId="FootnoteReference">
    <w:name w:val="footnote reference"/>
    <w:basedOn w:val="DefaultParagraphFont"/>
    <w:rsid w:val="005D26F8"/>
    <w:rPr>
      <w:vertAlign w:val="superscript"/>
    </w:rPr>
  </w:style>
  <w:style w:type="character" w:customStyle="1" w:styleId="Heading1Char">
    <w:name w:val="Heading 1 Char"/>
    <w:basedOn w:val="DefaultParagraphFont"/>
    <w:link w:val="Heading1"/>
    <w:rsid w:val="001D1E47"/>
    <w:rPr>
      <w:rFonts w:asciiTheme="majorHAnsi" w:eastAsiaTheme="majorEastAsia" w:hAnsiTheme="majorHAnsi" w:cstheme="majorBidi"/>
      <w:color w:val="365F91" w:themeColor="accent1" w:themeShade="BF"/>
      <w:spacing w:val="-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973">
      <w:bodyDiv w:val="1"/>
      <w:marLeft w:val="0"/>
      <w:marRight w:val="0"/>
      <w:marTop w:val="0"/>
      <w:marBottom w:val="0"/>
      <w:divBdr>
        <w:top w:val="none" w:sz="0" w:space="0" w:color="auto"/>
        <w:left w:val="none" w:sz="0" w:space="0" w:color="auto"/>
        <w:bottom w:val="none" w:sz="0" w:space="0" w:color="auto"/>
        <w:right w:val="none" w:sz="0" w:space="0" w:color="auto"/>
      </w:divBdr>
      <w:divsChild>
        <w:div w:id="1335914364">
          <w:marLeft w:val="0"/>
          <w:marRight w:val="0"/>
          <w:marTop w:val="0"/>
          <w:marBottom w:val="0"/>
          <w:divBdr>
            <w:top w:val="none" w:sz="0" w:space="0" w:color="auto"/>
            <w:left w:val="none" w:sz="0" w:space="0" w:color="auto"/>
            <w:bottom w:val="none" w:sz="0" w:space="0" w:color="auto"/>
            <w:right w:val="none" w:sz="0" w:space="0" w:color="auto"/>
          </w:divBdr>
        </w:div>
      </w:divsChild>
    </w:div>
    <w:div w:id="42215652">
      <w:bodyDiv w:val="1"/>
      <w:marLeft w:val="0"/>
      <w:marRight w:val="0"/>
      <w:marTop w:val="0"/>
      <w:marBottom w:val="0"/>
      <w:divBdr>
        <w:top w:val="none" w:sz="0" w:space="0" w:color="auto"/>
        <w:left w:val="none" w:sz="0" w:space="0" w:color="auto"/>
        <w:bottom w:val="none" w:sz="0" w:space="0" w:color="auto"/>
        <w:right w:val="none" w:sz="0" w:space="0" w:color="auto"/>
      </w:divBdr>
    </w:div>
    <w:div w:id="110975553">
      <w:bodyDiv w:val="1"/>
      <w:marLeft w:val="0"/>
      <w:marRight w:val="0"/>
      <w:marTop w:val="0"/>
      <w:marBottom w:val="0"/>
      <w:divBdr>
        <w:top w:val="none" w:sz="0" w:space="0" w:color="auto"/>
        <w:left w:val="none" w:sz="0" w:space="0" w:color="auto"/>
        <w:bottom w:val="none" w:sz="0" w:space="0" w:color="auto"/>
        <w:right w:val="none" w:sz="0" w:space="0" w:color="auto"/>
      </w:divBdr>
      <w:divsChild>
        <w:div w:id="1554929163">
          <w:marLeft w:val="0"/>
          <w:marRight w:val="0"/>
          <w:marTop w:val="0"/>
          <w:marBottom w:val="0"/>
          <w:divBdr>
            <w:top w:val="none" w:sz="0" w:space="0" w:color="auto"/>
            <w:left w:val="none" w:sz="0" w:space="0" w:color="auto"/>
            <w:bottom w:val="none" w:sz="0" w:space="0" w:color="auto"/>
            <w:right w:val="none" w:sz="0" w:space="0" w:color="auto"/>
          </w:divBdr>
        </w:div>
      </w:divsChild>
    </w:div>
    <w:div w:id="324822625">
      <w:bodyDiv w:val="1"/>
      <w:marLeft w:val="0"/>
      <w:marRight w:val="0"/>
      <w:marTop w:val="0"/>
      <w:marBottom w:val="0"/>
      <w:divBdr>
        <w:top w:val="none" w:sz="0" w:space="0" w:color="auto"/>
        <w:left w:val="none" w:sz="0" w:space="0" w:color="auto"/>
        <w:bottom w:val="none" w:sz="0" w:space="0" w:color="auto"/>
        <w:right w:val="none" w:sz="0" w:space="0" w:color="auto"/>
      </w:divBdr>
      <w:divsChild>
        <w:div w:id="1279097918">
          <w:marLeft w:val="0"/>
          <w:marRight w:val="0"/>
          <w:marTop w:val="0"/>
          <w:marBottom w:val="0"/>
          <w:divBdr>
            <w:top w:val="none" w:sz="0" w:space="0" w:color="auto"/>
            <w:left w:val="none" w:sz="0" w:space="0" w:color="auto"/>
            <w:bottom w:val="none" w:sz="0" w:space="0" w:color="auto"/>
            <w:right w:val="none" w:sz="0" w:space="0" w:color="auto"/>
          </w:divBdr>
        </w:div>
      </w:divsChild>
    </w:div>
    <w:div w:id="354818231">
      <w:bodyDiv w:val="1"/>
      <w:marLeft w:val="0"/>
      <w:marRight w:val="0"/>
      <w:marTop w:val="0"/>
      <w:marBottom w:val="0"/>
      <w:divBdr>
        <w:top w:val="none" w:sz="0" w:space="0" w:color="auto"/>
        <w:left w:val="none" w:sz="0" w:space="0" w:color="auto"/>
        <w:bottom w:val="none" w:sz="0" w:space="0" w:color="auto"/>
        <w:right w:val="none" w:sz="0" w:space="0" w:color="auto"/>
      </w:divBdr>
    </w:div>
    <w:div w:id="983584532">
      <w:bodyDiv w:val="1"/>
      <w:marLeft w:val="0"/>
      <w:marRight w:val="0"/>
      <w:marTop w:val="0"/>
      <w:marBottom w:val="0"/>
      <w:divBdr>
        <w:top w:val="none" w:sz="0" w:space="0" w:color="auto"/>
        <w:left w:val="none" w:sz="0" w:space="0" w:color="auto"/>
        <w:bottom w:val="none" w:sz="0" w:space="0" w:color="auto"/>
        <w:right w:val="none" w:sz="0" w:space="0" w:color="auto"/>
      </w:divBdr>
      <w:divsChild>
        <w:div w:id="1368795824">
          <w:marLeft w:val="0"/>
          <w:marRight w:val="0"/>
          <w:marTop w:val="0"/>
          <w:marBottom w:val="0"/>
          <w:divBdr>
            <w:top w:val="none" w:sz="0" w:space="0" w:color="auto"/>
            <w:left w:val="none" w:sz="0" w:space="0" w:color="auto"/>
            <w:bottom w:val="none" w:sz="0" w:space="0" w:color="auto"/>
            <w:right w:val="none" w:sz="0" w:space="0" w:color="auto"/>
          </w:divBdr>
        </w:div>
      </w:divsChild>
    </w:div>
    <w:div w:id="1371688322">
      <w:bodyDiv w:val="1"/>
      <w:marLeft w:val="0"/>
      <w:marRight w:val="0"/>
      <w:marTop w:val="0"/>
      <w:marBottom w:val="0"/>
      <w:divBdr>
        <w:top w:val="none" w:sz="0" w:space="0" w:color="auto"/>
        <w:left w:val="none" w:sz="0" w:space="0" w:color="auto"/>
        <w:bottom w:val="none" w:sz="0" w:space="0" w:color="auto"/>
        <w:right w:val="none" w:sz="0" w:space="0" w:color="auto"/>
      </w:divBdr>
    </w:div>
    <w:div w:id="1638559733">
      <w:bodyDiv w:val="1"/>
      <w:marLeft w:val="0"/>
      <w:marRight w:val="0"/>
      <w:marTop w:val="0"/>
      <w:marBottom w:val="0"/>
      <w:divBdr>
        <w:top w:val="none" w:sz="0" w:space="0" w:color="auto"/>
        <w:left w:val="none" w:sz="0" w:space="0" w:color="auto"/>
        <w:bottom w:val="none" w:sz="0" w:space="0" w:color="auto"/>
        <w:right w:val="none" w:sz="0" w:space="0" w:color="auto"/>
      </w:divBdr>
      <w:divsChild>
        <w:div w:id="1827043876">
          <w:marLeft w:val="0"/>
          <w:marRight w:val="0"/>
          <w:marTop w:val="0"/>
          <w:marBottom w:val="0"/>
          <w:divBdr>
            <w:top w:val="none" w:sz="0" w:space="0" w:color="auto"/>
            <w:left w:val="none" w:sz="0" w:space="0" w:color="auto"/>
            <w:bottom w:val="none" w:sz="0" w:space="0" w:color="auto"/>
            <w:right w:val="none" w:sz="0" w:space="0" w:color="auto"/>
          </w:divBdr>
          <w:divsChild>
            <w:div w:id="749011577">
              <w:marLeft w:val="0"/>
              <w:marRight w:val="0"/>
              <w:marTop w:val="0"/>
              <w:marBottom w:val="0"/>
              <w:divBdr>
                <w:top w:val="none" w:sz="0" w:space="0" w:color="auto"/>
                <w:left w:val="none" w:sz="0" w:space="0" w:color="auto"/>
                <w:bottom w:val="none" w:sz="0" w:space="0" w:color="auto"/>
                <w:right w:val="none" w:sz="0" w:space="0" w:color="auto"/>
              </w:divBdr>
              <w:divsChild>
                <w:div w:id="6255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Farm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Hone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Beekeeper" TargetMode="External"/><Relationship Id="rId5" Type="http://schemas.openxmlformats.org/officeDocument/2006/relationships/settings" Target="settings.xml"/><Relationship Id="rId15" Type="http://schemas.openxmlformats.org/officeDocument/2006/relationships/hyperlink" Target="mailto:timothy_hansen@ios.doi.gov" TargetMode="External"/><Relationship Id="rId10" Type="http://schemas.openxmlformats.org/officeDocument/2006/relationships/hyperlink" Target="http://en.wikipedia.org/wiki/Honey_bee" TargetMode="External"/><Relationship Id="rId4" Type="http://schemas.microsoft.com/office/2007/relationships/stylesWithEffects" Target="stylesWithEffects.xml"/><Relationship Id="rId9" Type="http://schemas.openxmlformats.org/officeDocument/2006/relationships/hyperlink" Target="http://en.wikipedia.org/wiki/Beehive_(beekeeping)" TargetMode="External"/><Relationship Id="rId14" Type="http://schemas.openxmlformats.org/officeDocument/2006/relationships/hyperlink" Target="http://en.wikipedia.org/wiki/Pollin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C6811-E8EA-41D0-8B12-8C558AE78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1379</Words>
  <Characters>7751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March 9, 2009</vt:lpstr>
    </vt:vector>
  </TitlesOfParts>
  <Company>U.S. Department of the Interior</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9, 2009</dc:title>
  <dc:creator>National Business Center</dc:creator>
  <cp:lastModifiedBy>Zahorodny, Aleta D</cp:lastModifiedBy>
  <cp:revision>2</cp:revision>
  <cp:lastPrinted>2014-01-27T19:40:00Z</cp:lastPrinted>
  <dcterms:created xsi:type="dcterms:W3CDTF">2015-10-07T21:48:00Z</dcterms:created>
  <dcterms:modified xsi:type="dcterms:W3CDTF">2015-10-07T21:48:00Z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6</vt:i4>
  </property>
  <property fmtid="{D5CDD505-2E9C-101B-9397-08002B2CF9AE}" pid="3" name="lqmsess">
    <vt:lpwstr>b952db45-8b59-43eb-a5ef-4fde484cc4a3</vt:lpwstr>
  </property>
</Properties>
</file>